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DA63" w14:textId="77777777" w:rsidR="001C19BA" w:rsidRDefault="001C19BA" w:rsidP="00CE351B">
      <w:pPr>
        <w:spacing w:after="120" w:line="360" w:lineRule="auto"/>
        <w:rPr>
          <w:rFonts w:ascii="David" w:hAnsi="David" w:cs="David"/>
          <w:rtl/>
        </w:rPr>
      </w:pPr>
    </w:p>
    <w:p w14:paraId="038858E5" w14:textId="77777777" w:rsidR="001C19BA" w:rsidRPr="001C19BA" w:rsidRDefault="001C19BA" w:rsidP="00CE351B">
      <w:pPr>
        <w:spacing w:after="120"/>
        <w:rPr>
          <w:rFonts w:cs="David"/>
          <w:noProof/>
          <w:rtl/>
        </w:rPr>
      </w:pPr>
      <w:r>
        <w:rPr>
          <w:rFonts w:ascii="David" w:hAnsi="David" w:cs="David"/>
          <w:rtl/>
        </w:rPr>
        <w:t xml:space="preserve"> </w:t>
      </w:r>
    </w:p>
    <w:p w14:paraId="20C6EAC3" w14:textId="77777777" w:rsidR="001C19BA" w:rsidRPr="001C19BA" w:rsidRDefault="001C19BA" w:rsidP="00CE351B">
      <w:pPr>
        <w:spacing w:after="120"/>
        <w:rPr>
          <w:rFonts w:cs="David"/>
          <w:b/>
          <w:bCs/>
          <w:noProof/>
          <w:sz w:val="28"/>
          <w:szCs w:val="28"/>
          <w:rtl/>
          <w:lang w:eastAsia="he-IL"/>
        </w:rPr>
      </w:pPr>
      <w:r w:rsidRPr="001C19BA">
        <w:rPr>
          <w:rFonts w:cs="David"/>
          <w:noProof/>
          <w:rtl/>
          <w:lang w:eastAsia="he-IL"/>
        </w:rPr>
        <w:t>לכבוד</w:t>
      </w:r>
      <w:r w:rsidRPr="001C19BA">
        <w:rPr>
          <w:rFonts w:cs="David"/>
          <w:noProof/>
          <w:rtl/>
          <w:lang w:eastAsia="he-IL"/>
        </w:rPr>
        <w:tab/>
      </w:r>
      <w:r w:rsidRPr="001C19BA">
        <w:rPr>
          <w:rFonts w:cs="David"/>
          <w:noProof/>
          <w:rtl/>
          <w:lang w:eastAsia="he-IL"/>
        </w:rPr>
        <w:tab/>
      </w:r>
      <w:r w:rsidRPr="001C19BA">
        <w:rPr>
          <w:rFonts w:cs="David"/>
          <w:noProof/>
          <w:rtl/>
          <w:lang w:eastAsia="he-IL"/>
        </w:rPr>
        <w:tab/>
      </w:r>
    </w:p>
    <w:p w14:paraId="0A28FCB5" w14:textId="77777777" w:rsidR="001C19BA" w:rsidRPr="001C19BA" w:rsidRDefault="001C19BA" w:rsidP="00CE351B">
      <w:pPr>
        <w:spacing w:after="120"/>
        <w:rPr>
          <w:rFonts w:cs="David"/>
          <w:noProof/>
          <w:u w:val="single"/>
          <w:lang w:eastAsia="he-IL"/>
        </w:rPr>
      </w:pPr>
      <w:r w:rsidRPr="001C19BA">
        <w:rPr>
          <w:rFonts w:cs="David" w:hint="cs"/>
          <w:b/>
          <w:bCs/>
          <w:noProof/>
          <w:sz w:val="28"/>
          <w:szCs w:val="28"/>
          <w:rtl/>
          <w:lang w:eastAsia="he-IL"/>
        </w:rPr>
        <w:t>___________</w:t>
      </w:r>
    </w:p>
    <w:p w14:paraId="61735244" w14:textId="77777777" w:rsidR="001C19BA" w:rsidRPr="001C19BA" w:rsidRDefault="001C19BA" w:rsidP="00CE351B">
      <w:pPr>
        <w:spacing w:after="120"/>
        <w:rPr>
          <w:rFonts w:cs="David"/>
          <w:noProof/>
          <w:u w:val="single"/>
          <w:rtl/>
          <w:lang w:eastAsia="he-IL"/>
        </w:rPr>
      </w:pPr>
      <w:r w:rsidRPr="001C19BA">
        <w:rPr>
          <w:rFonts w:cs="David" w:hint="cs"/>
          <w:noProof/>
          <w:u w:val="single"/>
          <w:rtl/>
          <w:lang w:eastAsia="he-IL"/>
        </w:rPr>
        <w:t>משרד המשפטים</w:t>
      </w:r>
    </w:p>
    <w:p w14:paraId="2027E27B" w14:textId="77777777" w:rsidR="001C19BA" w:rsidRPr="001C19BA" w:rsidRDefault="001C19BA" w:rsidP="00CE351B">
      <w:pPr>
        <w:spacing w:after="120"/>
        <w:rPr>
          <w:rFonts w:cs="David"/>
          <w:noProof/>
          <w:u w:val="single"/>
          <w:rtl/>
          <w:lang w:eastAsia="he-IL"/>
        </w:rPr>
      </w:pPr>
    </w:p>
    <w:p w14:paraId="3528521D" w14:textId="77777777" w:rsidR="001C19BA" w:rsidRPr="001C19BA" w:rsidRDefault="001C19BA" w:rsidP="00CE351B">
      <w:pPr>
        <w:spacing w:after="120"/>
        <w:rPr>
          <w:rFonts w:cs="David"/>
          <w:b/>
          <w:bCs/>
          <w:noProof/>
          <w:sz w:val="28"/>
          <w:szCs w:val="28"/>
          <w:rtl/>
          <w:lang w:eastAsia="he-IL"/>
        </w:rPr>
      </w:pPr>
      <w:r w:rsidRPr="001C19BA">
        <w:rPr>
          <w:rFonts w:cs="David" w:hint="cs"/>
          <w:b/>
          <w:bCs/>
          <w:noProof/>
          <w:sz w:val="28"/>
          <w:szCs w:val="28"/>
          <w:rtl/>
          <w:lang w:eastAsia="he-IL"/>
        </w:rPr>
        <w:t>__________</w:t>
      </w:r>
    </w:p>
    <w:p w14:paraId="66E2FCAC" w14:textId="77777777" w:rsidR="001C19BA" w:rsidRPr="001C19BA" w:rsidRDefault="001C19BA" w:rsidP="00CE351B">
      <w:pPr>
        <w:spacing w:after="120"/>
        <w:rPr>
          <w:rFonts w:cs="David"/>
          <w:noProof/>
          <w:u w:val="single"/>
          <w:rtl/>
          <w:lang w:eastAsia="he-IL"/>
        </w:rPr>
      </w:pPr>
      <w:r w:rsidRPr="001C19BA">
        <w:rPr>
          <w:rFonts w:cs="David" w:hint="cs"/>
          <w:noProof/>
          <w:u w:val="single"/>
          <w:rtl/>
          <w:lang w:eastAsia="he-IL"/>
        </w:rPr>
        <w:t>משרד האוצר</w:t>
      </w:r>
    </w:p>
    <w:p w14:paraId="2D044008" w14:textId="77777777" w:rsidR="001C19BA" w:rsidRPr="001C19BA" w:rsidRDefault="001C19BA" w:rsidP="00CE351B">
      <w:pPr>
        <w:spacing w:after="120"/>
        <w:rPr>
          <w:rFonts w:cs="David"/>
          <w:noProof/>
          <w:u w:val="single"/>
          <w:rtl/>
          <w:lang w:eastAsia="he-IL"/>
        </w:rPr>
      </w:pPr>
    </w:p>
    <w:p w14:paraId="17193BD0" w14:textId="77777777" w:rsidR="001C19BA" w:rsidRPr="001C19BA" w:rsidRDefault="001C19BA" w:rsidP="00CE351B">
      <w:pPr>
        <w:spacing w:after="120"/>
        <w:rPr>
          <w:rFonts w:cs="David"/>
          <w:noProof/>
          <w:u w:val="single"/>
          <w:rtl/>
          <w:lang w:eastAsia="he-IL"/>
        </w:rPr>
      </w:pPr>
    </w:p>
    <w:p w14:paraId="3E186A49" w14:textId="77777777" w:rsidR="001C19BA" w:rsidRPr="001C19BA" w:rsidRDefault="001C19BA" w:rsidP="00CE351B">
      <w:pPr>
        <w:tabs>
          <w:tab w:val="left" w:pos="6605"/>
        </w:tabs>
        <w:spacing w:after="120"/>
        <w:jc w:val="both"/>
        <w:rPr>
          <w:rFonts w:cs="David"/>
          <w:noProof/>
          <w:rtl/>
          <w:lang w:eastAsia="he-IL"/>
        </w:rPr>
      </w:pPr>
    </w:p>
    <w:p w14:paraId="49B2568C" w14:textId="77777777" w:rsidR="001C19BA" w:rsidRPr="001C19BA" w:rsidRDefault="001C19BA" w:rsidP="00CE351B">
      <w:pPr>
        <w:tabs>
          <w:tab w:val="left" w:pos="6605"/>
        </w:tabs>
        <w:spacing w:after="120"/>
        <w:jc w:val="both"/>
        <w:rPr>
          <w:rFonts w:cs="David"/>
          <w:noProof/>
          <w:rtl/>
          <w:lang w:eastAsia="he-IL"/>
        </w:rPr>
      </w:pPr>
      <w:r w:rsidRPr="001C19BA">
        <w:rPr>
          <w:rFonts w:cs="David" w:hint="cs"/>
          <w:noProof/>
          <w:rtl/>
          <w:lang w:eastAsia="he-IL"/>
        </w:rPr>
        <w:t>שלום רב,</w:t>
      </w:r>
    </w:p>
    <w:p w14:paraId="59AF2581" w14:textId="77777777" w:rsidR="001C19BA" w:rsidRPr="001C19BA" w:rsidRDefault="001C19BA" w:rsidP="00CE351B">
      <w:pPr>
        <w:spacing w:after="120"/>
        <w:jc w:val="both"/>
        <w:rPr>
          <w:rFonts w:ascii="David" w:hAnsi="David" w:cs="David"/>
          <w:noProof/>
          <w:rtl/>
          <w:lang w:eastAsia="he-IL"/>
        </w:rPr>
      </w:pPr>
    </w:p>
    <w:p w14:paraId="2F3EAE3D" w14:textId="2CBE3AC6" w:rsidR="001C19BA" w:rsidRPr="001C19BA" w:rsidRDefault="001C19BA" w:rsidP="00CE351B">
      <w:pPr>
        <w:spacing w:after="120"/>
        <w:jc w:val="center"/>
        <w:rPr>
          <w:rFonts w:ascii="David" w:hAnsi="David" w:cs="David"/>
          <w:b/>
          <w:bCs/>
          <w:noProof/>
          <w:sz w:val="28"/>
          <w:szCs w:val="28"/>
          <w:u w:val="single"/>
          <w:rtl/>
          <w:lang w:eastAsia="he-IL"/>
        </w:rPr>
      </w:pPr>
      <w:r w:rsidRPr="001C19BA">
        <w:rPr>
          <w:rFonts w:ascii="David" w:hAnsi="David" w:cs="David" w:hint="cs"/>
          <w:b/>
          <w:bCs/>
          <w:noProof/>
          <w:sz w:val="28"/>
          <w:szCs w:val="28"/>
          <w:rtl/>
          <w:lang w:eastAsia="he-IL"/>
        </w:rPr>
        <w:t xml:space="preserve">הנדון: </w:t>
      </w:r>
      <w:r w:rsidRPr="001C19BA">
        <w:rPr>
          <w:rFonts w:ascii="David" w:hAnsi="David" w:cs="David" w:hint="cs"/>
          <w:b/>
          <w:bCs/>
          <w:noProof/>
          <w:sz w:val="28"/>
          <w:szCs w:val="28"/>
          <w:u w:val="single"/>
          <w:rtl/>
          <w:lang w:eastAsia="he-IL"/>
        </w:rPr>
        <w:t xml:space="preserve">התייחסות מטעם </w:t>
      </w:r>
      <w:r>
        <w:rPr>
          <w:rFonts w:ascii="David" w:hAnsi="David" w:cs="David" w:hint="cs"/>
          <w:b/>
          <w:bCs/>
          <w:noProof/>
          <w:sz w:val="28"/>
          <w:szCs w:val="28"/>
          <w:u w:val="single"/>
          <w:rtl/>
          <w:lang w:eastAsia="he-IL"/>
        </w:rPr>
        <w:t>פורום קנין ומקרקעין</w:t>
      </w:r>
      <w:r w:rsidRPr="001C19BA">
        <w:rPr>
          <w:rFonts w:ascii="David" w:hAnsi="David" w:cs="David" w:hint="cs"/>
          <w:b/>
          <w:bCs/>
          <w:noProof/>
          <w:sz w:val="28"/>
          <w:szCs w:val="28"/>
          <w:u w:val="single"/>
          <w:rtl/>
          <w:lang w:eastAsia="he-IL"/>
        </w:rPr>
        <w:t xml:space="preserve"> בלשכת עורכי הדין</w:t>
      </w:r>
    </w:p>
    <w:p w14:paraId="669013FD" w14:textId="6A689CB6" w:rsidR="001C19BA" w:rsidRPr="001C19BA" w:rsidRDefault="001C19BA" w:rsidP="00CE351B">
      <w:pPr>
        <w:spacing w:after="120"/>
        <w:jc w:val="center"/>
        <w:rPr>
          <w:rFonts w:cs="Miriam"/>
          <w:noProof/>
          <w:sz w:val="32"/>
          <w:szCs w:val="32"/>
          <w:bdr w:val="single" w:sz="4" w:space="0" w:color="auto" w:shadow="1"/>
          <w:rtl/>
          <w:lang w:eastAsia="he-IL"/>
        </w:rPr>
      </w:pPr>
      <w:r w:rsidRPr="001C19BA">
        <w:rPr>
          <w:rFonts w:ascii="David" w:hAnsi="David" w:cs="David" w:hint="cs"/>
          <w:b/>
          <w:bCs/>
          <w:noProof/>
          <w:sz w:val="28"/>
          <w:szCs w:val="28"/>
          <w:u w:val="single"/>
          <w:rtl/>
          <w:lang w:eastAsia="he-IL"/>
        </w:rPr>
        <w:t>לפרק</w:t>
      </w:r>
      <w:r>
        <w:rPr>
          <w:rFonts w:ascii="David" w:hAnsi="David" w:cs="David" w:hint="cs"/>
          <w:b/>
          <w:bCs/>
          <w:noProof/>
          <w:sz w:val="28"/>
          <w:szCs w:val="28"/>
          <w:u w:val="single"/>
          <w:rtl/>
          <w:lang w:eastAsia="he-IL"/>
        </w:rPr>
        <w:t xml:space="preserve">ים הרלוונטיים </w:t>
      </w:r>
      <w:r w:rsidRPr="001C19BA">
        <w:rPr>
          <w:rFonts w:ascii="David" w:hAnsi="David" w:cs="David" w:hint="cs"/>
          <w:b/>
          <w:bCs/>
          <w:noProof/>
          <w:sz w:val="28"/>
          <w:szCs w:val="28"/>
          <w:u w:val="single"/>
          <w:rtl/>
          <w:lang w:eastAsia="he-IL"/>
        </w:rPr>
        <w:t>בטיוטת חוק ההסדרים 2021</w:t>
      </w:r>
    </w:p>
    <w:p w14:paraId="405BC174" w14:textId="77777777" w:rsidR="001C19BA" w:rsidRPr="001C19BA" w:rsidRDefault="001C19BA" w:rsidP="00CE351B">
      <w:pPr>
        <w:spacing w:after="120"/>
        <w:jc w:val="center"/>
        <w:rPr>
          <w:rFonts w:cs="Miriam"/>
          <w:noProof/>
          <w:sz w:val="32"/>
          <w:szCs w:val="32"/>
          <w:rtl/>
          <w:lang w:eastAsia="he-IL"/>
        </w:rPr>
      </w:pPr>
      <w:r w:rsidRPr="001C19BA">
        <w:rPr>
          <w:rFonts w:cs="Miriam"/>
          <w:noProof/>
          <w:sz w:val="32"/>
          <w:szCs w:val="32"/>
          <w:bdr w:val="single" w:sz="4" w:space="0" w:color="auto" w:shadow="1"/>
          <w:rtl/>
          <w:lang w:eastAsia="he-IL"/>
        </w:rPr>
        <w:t>נייר עמדה</w:t>
      </w:r>
    </w:p>
    <w:p w14:paraId="6D7E4D48" w14:textId="4A50CFB4" w:rsidR="00E9510B" w:rsidRDefault="00E9510B" w:rsidP="00CE351B">
      <w:pPr>
        <w:spacing w:after="120"/>
        <w:rPr>
          <w:rFonts w:ascii="David" w:hAnsi="David" w:cs="David"/>
          <w:rtl/>
        </w:rPr>
      </w:pPr>
    </w:p>
    <w:p w14:paraId="2A9B5E74" w14:textId="6A5D35DA" w:rsidR="001C19BA" w:rsidRDefault="00CE351B" w:rsidP="00CE351B">
      <w:pPr>
        <w:spacing w:after="120" w:line="360" w:lineRule="auto"/>
        <w:jc w:val="both"/>
        <w:rPr>
          <w:rFonts w:ascii="David" w:hAnsi="David" w:cs="David"/>
          <w:rtl/>
        </w:rPr>
      </w:pPr>
      <w:r>
        <w:rPr>
          <w:rFonts w:ascii="David" w:hAnsi="David" w:cs="David" w:hint="cs"/>
          <w:rtl/>
        </w:rPr>
        <w:t>אנו מתכבדי</w:t>
      </w:r>
      <w:r w:rsidR="001C19BA">
        <w:rPr>
          <w:rFonts w:ascii="David" w:hAnsi="David" w:cs="David" w:hint="cs"/>
          <w:rtl/>
        </w:rPr>
        <w:t>ם להגיש בזאת התייחסות לפרקים הרלוונטיים בטיוטת חוק ההסדרים מטעם פורום קניין ומקרקעין בלשכת עורכי הדין.</w:t>
      </w:r>
    </w:p>
    <w:p w14:paraId="20BD9521" w14:textId="1F7C2028" w:rsidR="001C19BA" w:rsidRPr="00CE351B" w:rsidRDefault="001C19BA" w:rsidP="00CE351B">
      <w:pPr>
        <w:pStyle w:val="aa"/>
        <w:numPr>
          <w:ilvl w:val="0"/>
          <w:numId w:val="5"/>
        </w:numPr>
        <w:spacing w:after="120" w:line="360" w:lineRule="auto"/>
        <w:jc w:val="both"/>
        <w:rPr>
          <w:rFonts w:ascii="David" w:hAnsi="David" w:cs="David"/>
          <w:b/>
          <w:bCs/>
          <w:sz w:val="28"/>
          <w:szCs w:val="28"/>
        </w:rPr>
      </w:pPr>
      <w:r w:rsidRPr="00CE351B">
        <w:rPr>
          <w:rFonts w:cs="David" w:hint="cs"/>
          <w:b/>
          <w:bCs/>
          <w:kern w:val="28"/>
          <w:sz w:val="28"/>
          <w:szCs w:val="28"/>
          <w:u w:val="single"/>
          <w:rtl/>
          <w:lang w:eastAsia="he-IL"/>
        </w:rPr>
        <w:t xml:space="preserve">הוספת אלפי יחידות דיור בטווח הקצר על ידי ייעול השימוש בשטחי תעסוקה </w:t>
      </w:r>
      <w:r w:rsidRPr="00CE351B">
        <w:rPr>
          <w:rFonts w:ascii="David" w:hAnsi="David" w:cs="David" w:hint="cs"/>
          <w:b/>
          <w:bCs/>
          <w:sz w:val="28"/>
          <w:szCs w:val="28"/>
          <w:rtl/>
        </w:rPr>
        <w:t>(עמ' 78 לטיוטת הצעת המחליטים)</w:t>
      </w:r>
    </w:p>
    <w:p w14:paraId="6FAD1830" w14:textId="22FA1AE9" w:rsidR="00D7473B" w:rsidRDefault="00CE351B" w:rsidP="00CE351B">
      <w:pPr>
        <w:pStyle w:val="aa"/>
        <w:keepLines/>
        <w:numPr>
          <w:ilvl w:val="0"/>
          <w:numId w:val="7"/>
        </w:numPr>
        <w:tabs>
          <w:tab w:val="num" w:pos="423"/>
        </w:tabs>
        <w:spacing w:after="120" w:line="360" w:lineRule="auto"/>
        <w:jc w:val="both"/>
        <w:outlineLvl w:val="0"/>
        <w:rPr>
          <w:rFonts w:cs="David"/>
          <w:kern w:val="28"/>
          <w:lang w:eastAsia="he-IL"/>
        </w:rPr>
      </w:pPr>
      <w:r>
        <w:rPr>
          <w:rFonts w:cs="David" w:hint="cs"/>
          <w:kern w:val="28"/>
          <w:u w:val="single"/>
          <w:rtl/>
          <w:lang w:eastAsia="he-IL"/>
        </w:rPr>
        <w:t>ס' 1</w:t>
      </w:r>
      <w:r w:rsidR="001C19BA" w:rsidRPr="001C19BA">
        <w:rPr>
          <w:rFonts w:cs="David" w:hint="cs"/>
          <w:kern w:val="28"/>
          <w:rtl/>
          <w:lang w:eastAsia="he-IL"/>
        </w:rPr>
        <w:t xml:space="preserve"> </w:t>
      </w:r>
      <w:r w:rsidR="001C19BA" w:rsidRPr="001C19BA">
        <w:rPr>
          <w:rFonts w:cs="David"/>
          <w:kern w:val="28"/>
          <w:rtl/>
          <w:lang w:eastAsia="he-IL"/>
        </w:rPr>
        <w:t>–</w:t>
      </w:r>
      <w:r w:rsidR="001C19BA" w:rsidRPr="001C19BA">
        <w:rPr>
          <w:rFonts w:cs="David" w:hint="cs"/>
          <w:kern w:val="28"/>
          <w:rtl/>
          <w:lang w:eastAsia="he-IL"/>
        </w:rPr>
        <w:t xml:space="preserve"> </w:t>
      </w:r>
      <w:r w:rsidR="00D7473B">
        <w:rPr>
          <w:rFonts w:cs="David" w:hint="cs"/>
          <w:kern w:val="28"/>
          <w:rtl/>
          <w:lang w:eastAsia="he-IL"/>
        </w:rPr>
        <w:t xml:space="preserve">ראשית יש לתקן את המילים "600 מ"ר" ל </w:t>
      </w:r>
      <w:r w:rsidR="00D7473B">
        <w:rPr>
          <w:rFonts w:cs="David"/>
          <w:kern w:val="28"/>
          <w:rtl/>
          <w:lang w:eastAsia="he-IL"/>
        </w:rPr>
        <w:t>–</w:t>
      </w:r>
      <w:r w:rsidR="00D7473B">
        <w:rPr>
          <w:rFonts w:cs="David" w:hint="cs"/>
          <w:kern w:val="28"/>
          <w:rtl/>
          <w:lang w:eastAsia="he-IL"/>
        </w:rPr>
        <w:t xml:space="preserve"> "600 מטר", דהיינו מרחק של 600 מטר ולא שטח של 600 מ"ר.</w:t>
      </w:r>
    </w:p>
    <w:p w14:paraId="240ED381" w14:textId="65D02726" w:rsidR="001C19BA" w:rsidRPr="001C19BA" w:rsidRDefault="00D7473B" w:rsidP="00CE351B">
      <w:pPr>
        <w:pStyle w:val="aa"/>
        <w:keepLines/>
        <w:tabs>
          <w:tab w:val="num" w:pos="423"/>
        </w:tabs>
        <w:spacing w:after="120" w:line="360" w:lineRule="auto"/>
        <w:ind w:left="1080"/>
        <w:jc w:val="both"/>
        <w:outlineLvl w:val="0"/>
        <w:rPr>
          <w:rFonts w:cs="David"/>
          <w:kern w:val="28"/>
          <w:lang w:eastAsia="he-IL"/>
        </w:rPr>
      </w:pPr>
      <w:r>
        <w:rPr>
          <w:rFonts w:cs="David" w:hint="cs"/>
          <w:kern w:val="28"/>
          <w:u w:val="single"/>
          <w:rtl/>
          <w:lang w:eastAsia="he-IL"/>
        </w:rPr>
        <w:t xml:space="preserve">שנית, </w:t>
      </w:r>
      <w:r w:rsidR="001C19BA" w:rsidRPr="001C19BA">
        <w:rPr>
          <w:rFonts w:cs="David" w:hint="cs"/>
          <w:kern w:val="28"/>
          <w:rtl/>
          <w:lang w:eastAsia="he-IL"/>
        </w:rPr>
        <w:t xml:space="preserve">יש לסייג את האפשרות לאשר בקשה להיתר בניה הכוללת תוספת שימוש לדירות מגורים קטנות במגרשי תעסוקה או מסחר, כך שהאמור יתאפשר אך ורק במקרים בהם אופיו של המגרש מתאים למגורים ובלבד שלא נקבעו הוראות הנוגעות להתרת שימוש למגורים במגרש בהתאם לתכנית החלה על המגרש. היינו, האמור לא יתאפשר מקרה בו תכנית מפורטת מאושרת במגרש כבר קבעה הוראות מחייבות לעניין האפשרות להוספת שימושים למגורים במגרש. </w:t>
      </w:r>
    </w:p>
    <w:p w14:paraId="67D4BE66" w14:textId="77777777" w:rsidR="001C19BA" w:rsidRPr="001C19BA" w:rsidRDefault="001C19BA" w:rsidP="00CE351B">
      <w:pPr>
        <w:keepLines/>
        <w:spacing w:after="120" w:line="360" w:lineRule="auto"/>
        <w:ind w:left="1017"/>
        <w:jc w:val="both"/>
        <w:outlineLvl w:val="0"/>
        <w:rPr>
          <w:rFonts w:cs="David"/>
          <w:kern w:val="28"/>
          <w:rtl/>
          <w:lang w:eastAsia="he-IL"/>
        </w:rPr>
      </w:pPr>
      <w:r w:rsidRPr="001C19BA">
        <w:rPr>
          <w:rFonts w:cs="David" w:hint="cs"/>
          <w:kern w:val="28"/>
          <w:rtl/>
          <w:lang w:eastAsia="he-IL"/>
        </w:rPr>
        <w:t xml:space="preserve">התניית בקשה להיתר כאמור במרחק המגרש "מאזור הכולל מגורים" אינה רלוונטית. לצורך אישור תוספת שימוש למגורים, יש לבחון את קרבת המגרש </w:t>
      </w:r>
      <w:r w:rsidRPr="001C19BA">
        <w:rPr>
          <w:rFonts w:cs="David" w:hint="cs"/>
          <w:kern w:val="28"/>
          <w:u w:val="single"/>
          <w:rtl/>
          <w:lang w:eastAsia="he-IL"/>
        </w:rPr>
        <w:t>למוסדות ציבור</w:t>
      </w:r>
      <w:r w:rsidRPr="001C19BA">
        <w:rPr>
          <w:rFonts w:cs="David" w:hint="cs"/>
          <w:kern w:val="28"/>
          <w:rtl/>
          <w:lang w:eastAsia="he-IL"/>
        </w:rPr>
        <w:t xml:space="preserve"> אשר יוכלו ליתן מענה לצרכי הציבור אשר נובעים מאישור תוספת שימוש למגורים ולא את קרבת המגרש לאזורים הכוללים מגורים. לכן, לעמדתנו יש לתקן את האמור כך שניתן יהיה להגיש בקשה לקבלת היתר בניה הכולל תוספת שימוש של דירות מגורים קטנות כמפורט בסעיף ובלבד שעסקינן במגרש הממוקם במרחק של עילה על 600 מטרים מאזור בו קיימים מוסדות חינוך וציבור אשר יתנו מענה לצרכי הציבור הנדרשים. </w:t>
      </w:r>
    </w:p>
    <w:p w14:paraId="67993448" w14:textId="6749F15E" w:rsidR="001C19BA" w:rsidRPr="001C19BA" w:rsidRDefault="00CE351B" w:rsidP="00CE351B">
      <w:pPr>
        <w:pStyle w:val="aa"/>
        <w:keepLines/>
        <w:numPr>
          <w:ilvl w:val="0"/>
          <w:numId w:val="7"/>
        </w:numPr>
        <w:tabs>
          <w:tab w:val="num" w:pos="423"/>
        </w:tabs>
        <w:spacing w:after="120" w:line="360" w:lineRule="auto"/>
        <w:jc w:val="both"/>
        <w:outlineLvl w:val="0"/>
        <w:rPr>
          <w:rFonts w:cs="David"/>
          <w:kern w:val="28"/>
          <w:lang w:eastAsia="he-IL"/>
        </w:rPr>
      </w:pPr>
      <w:r>
        <w:rPr>
          <w:rFonts w:cs="David" w:hint="cs"/>
          <w:kern w:val="28"/>
          <w:u w:val="single"/>
          <w:rtl/>
          <w:lang w:eastAsia="he-IL"/>
        </w:rPr>
        <w:t>סעיף 2</w:t>
      </w:r>
      <w:r w:rsidR="001C19BA" w:rsidRPr="001C19BA">
        <w:rPr>
          <w:rFonts w:cs="David"/>
          <w:kern w:val="28"/>
          <w:rtl/>
          <w:lang w:eastAsia="he-IL"/>
        </w:rPr>
        <w:t>–</w:t>
      </w:r>
      <w:r w:rsidR="001C19BA" w:rsidRPr="001C19BA">
        <w:rPr>
          <w:rFonts w:cs="David" w:hint="cs"/>
          <w:kern w:val="28"/>
          <w:rtl/>
          <w:lang w:eastAsia="he-IL"/>
        </w:rPr>
        <w:t xml:space="preserve"> לא ברורה ההבחנה שנעשתה בין שימוש למגורים במגרש לא מבונה לבין מגרש מבונה. מעבר לכך, לעמדתנו יש ליתן העדפה להקצאת מגרשים שלמים לצרכי מגורים כאמור במסגרת מתחמים המיועדים לתעסוקה או למסחר, וזאת על פני הקצאת שטחים עיקריים לצרכי מגורים בתחום מגרשים בייעוד תעסוקה או מסחר. </w:t>
      </w:r>
    </w:p>
    <w:p w14:paraId="7B779734" w14:textId="730C167F" w:rsidR="001C19BA" w:rsidRPr="001C19BA" w:rsidRDefault="00CE351B" w:rsidP="00CE351B">
      <w:pPr>
        <w:pStyle w:val="aa"/>
        <w:keepLines/>
        <w:numPr>
          <w:ilvl w:val="0"/>
          <w:numId w:val="7"/>
        </w:numPr>
        <w:tabs>
          <w:tab w:val="num" w:pos="423"/>
        </w:tabs>
        <w:spacing w:after="120" w:line="360" w:lineRule="auto"/>
        <w:jc w:val="both"/>
        <w:outlineLvl w:val="0"/>
        <w:rPr>
          <w:rFonts w:cs="David"/>
          <w:kern w:val="28"/>
          <w:lang w:eastAsia="he-IL"/>
        </w:rPr>
      </w:pPr>
      <w:r>
        <w:rPr>
          <w:rFonts w:cs="David" w:hint="cs"/>
          <w:kern w:val="28"/>
          <w:u w:val="single"/>
          <w:rtl/>
          <w:lang w:eastAsia="he-IL"/>
        </w:rPr>
        <w:t>סעיף 3</w:t>
      </w:r>
      <w:r w:rsidR="001C19BA" w:rsidRPr="001C19BA">
        <w:rPr>
          <w:rFonts w:cs="David" w:hint="cs"/>
          <w:kern w:val="28"/>
          <w:rtl/>
          <w:lang w:eastAsia="he-IL"/>
        </w:rPr>
        <w:t xml:space="preserve"> </w:t>
      </w:r>
      <w:r w:rsidR="001C19BA" w:rsidRPr="001C19BA">
        <w:rPr>
          <w:rFonts w:cs="David"/>
          <w:kern w:val="28"/>
          <w:rtl/>
          <w:lang w:eastAsia="he-IL"/>
        </w:rPr>
        <w:t>–</w:t>
      </w:r>
      <w:r w:rsidR="001C19BA" w:rsidRPr="001C19BA">
        <w:rPr>
          <w:rFonts w:cs="David" w:hint="cs"/>
          <w:kern w:val="28"/>
          <w:rtl/>
          <w:lang w:eastAsia="he-IL"/>
        </w:rPr>
        <w:t xml:space="preserve"> קביעת "כלל אצבע" של תוספת 1 מ"ר שטח מבונה לשימושים ציבוריים עבור כל 20 מ"ר עיקרי למגורים אינו נכון תכנונית וזאת בשים לב כי ייתכן שבקר</w:t>
      </w:r>
      <w:r w:rsidR="001C19BA">
        <w:rPr>
          <w:rFonts w:cs="David" w:hint="cs"/>
          <w:kern w:val="28"/>
          <w:rtl/>
          <w:lang w:eastAsia="he-IL"/>
        </w:rPr>
        <w:t>ב</w:t>
      </w:r>
      <w:r w:rsidR="001C19BA" w:rsidRPr="001C19BA">
        <w:rPr>
          <w:rFonts w:cs="David" w:hint="cs"/>
          <w:kern w:val="28"/>
          <w:rtl/>
          <w:lang w:eastAsia="he-IL"/>
        </w:rPr>
        <w:t xml:space="preserve">ת המגרש קיימים מוסדות ציבור קיימים אשר יכולים ליתן מענה לתוספת שטחי המגורים המבוקשת. על כן, יש לבחון כל מקרה לגופו.  </w:t>
      </w:r>
    </w:p>
    <w:p w14:paraId="35F0990E" w14:textId="77777777" w:rsidR="001C19BA" w:rsidRPr="001C19BA" w:rsidRDefault="001C19BA" w:rsidP="00CE351B">
      <w:pPr>
        <w:keepLines/>
        <w:spacing w:after="120" w:line="360" w:lineRule="auto"/>
        <w:ind w:left="1017"/>
        <w:jc w:val="both"/>
        <w:outlineLvl w:val="0"/>
        <w:rPr>
          <w:rFonts w:cs="David"/>
          <w:kern w:val="28"/>
          <w:rtl/>
          <w:lang w:eastAsia="he-IL"/>
        </w:rPr>
      </w:pPr>
      <w:r w:rsidRPr="001C19BA">
        <w:rPr>
          <w:rFonts w:cs="David" w:hint="cs"/>
          <w:kern w:val="28"/>
          <w:rtl/>
          <w:lang w:eastAsia="he-IL"/>
        </w:rPr>
        <w:t xml:space="preserve">כמו כן, מנוסחו של הסעיף לא ברור האם סמכות רשות הרישוי לאשר שימוש כאמור תהיה סמכות שבחובה או סמכות שברשות, והאם ככל שמדובר בסמכות שברשות </w:t>
      </w:r>
      <w:r w:rsidRPr="001C19BA">
        <w:rPr>
          <w:rFonts w:cs="David"/>
          <w:kern w:val="28"/>
          <w:rtl/>
          <w:lang w:eastAsia="he-IL"/>
        </w:rPr>
        <w:t>–</w:t>
      </w:r>
      <w:r w:rsidRPr="001C19BA">
        <w:rPr>
          <w:rFonts w:cs="David" w:hint="cs"/>
          <w:kern w:val="28"/>
          <w:rtl/>
          <w:lang w:eastAsia="he-IL"/>
        </w:rPr>
        <w:t xml:space="preserve"> ככל שהרשות בוחרת לנצל סמכות זו, חייבת היא לפעול בהתאם ל"כלל האצבע" כאמור. יש לחדד נושא זה. </w:t>
      </w:r>
    </w:p>
    <w:p w14:paraId="6A2C8EF7" w14:textId="77777777" w:rsidR="001C19BA" w:rsidRPr="001C19BA" w:rsidRDefault="001C19BA" w:rsidP="00CE351B">
      <w:pPr>
        <w:keepLines/>
        <w:spacing w:after="120" w:line="360" w:lineRule="auto"/>
        <w:ind w:left="1017"/>
        <w:jc w:val="both"/>
        <w:outlineLvl w:val="0"/>
        <w:rPr>
          <w:rFonts w:cs="David"/>
          <w:kern w:val="28"/>
          <w:rtl/>
          <w:lang w:eastAsia="he-IL"/>
        </w:rPr>
      </w:pPr>
      <w:r w:rsidRPr="001C19BA">
        <w:rPr>
          <w:rFonts w:cs="David" w:hint="cs"/>
          <w:kern w:val="28"/>
          <w:rtl/>
          <w:lang w:eastAsia="he-IL"/>
        </w:rPr>
        <w:t xml:space="preserve">עוד יובהר כי לעמדתנו, אין זה ראוי להתיר סמכות זו בידי רשות הרישוי, היינו, מהנדס הוועדה המקומית ויו"ר הוועדה המקומית בלבד. תוספת שטחים ציבוריים מחייבת דיון ציבורי ושקיפות מול הציבור ועל כן, יש להותיר סמכות זו בידי הוועדה המקומית או ועדת המשנה של הוועדה המקומית. </w:t>
      </w:r>
    </w:p>
    <w:p w14:paraId="4A75949D" w14:textId="47E73A10" w:rsidR="001C19BA" w:rsidRPr="001C19BA"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1C19BA">
        <w:rPr>
          <w:rFonts w:cs="David" w:hint="cs"/>
          <w:kern w:val="28"/>
          <w:u w:val="single"/>
          <w:rtl/>
          <w:lang w:eastAsia="he-IL"/>
        </w:rPr>
        <w:t>סעיף 4</w:t>
      </w:r>
      <w:r w:rsidRPr="001C19BA">
        <w:rPr>
          <w:rFonts w:cs="David"/>
          <w:kern w:val="28"/>
          <w:rtl/>
          <w:lang w:eastAsia="he-IL"/>
        </w:rPr>
        <w:t>–</w:t>
      </w:r>
      <w:r w:rsidRPr="001C19BA">
        <w:rPr>
          <w:rFonts w:cs="David" w:hint="cs"/>
          <w:kern w:val="28"/>
          <w:rtl/>
          <w:lang w:eastAsia="he-IL"/>
        </w:rPr>
        <w:t xml:space="preserve"> אישור של מסמך מדיניות כמתואר בסעיף זה הינו חלק מסמכותה הטבועה של הוועדה המקומית לכן סעיף זה הינו מיותר. מעבר לכך, לא ברור האם ככל שבוחרת הוועדה המקומית לאשר מסמך מדיניות כאמור, נדרשת היא לעשות זאת כ-12 חודשים. </w:t>
      </w:r>
    </w:p>
    <w:p w14:paraId="1BD320AE" w14:textId="77777777" w:rsidR="001C19BA" w:rsidRPr="001C19BA" w:rsidRDefault="001C19BA" w:rsidP="00CE351B">
      <w:pPr>
        <w:keepLines/>
        <w:spacing w:after="120" w:line="360" w:lineRule="auto"/>
        <w:ind w:left="1017"/>
        <w:jc w:val="both"/>
        <w:outlineLvl w:val="0"/>
        <w:rPr>
          <w:rFonts w:cs="David"/>
          <w:kern w:val="28"/>
          <w:rtl/>
          <w:lang w:eastAsia="he-IL"/>
        </w:rPr>
      </w:pPr>
      <w:r w:rsidRPr="001C19BA">
        <w:rPr>
          <w:rFonts w:cs="David" w:hint="cs"/>
          <w:kern w:val="28"/>
          <w:rtl/>
          <w:lang w:eastAsia="he-IL"/>
        </w:rPr>
        <w:t xml:space="preserve">בעניין זה נציין כי לעמדתנו, יש להבהיר כי כלל שכבר אושר מסמך מדיניות הכולל את האמור בסעיף זה למגרש הרלוונטי, הרי שאין צורך לאשר מסמך נוסף. </w:t>
      </w:r>
    </w:p>
    <w:p w14:paraId="0D997E4B" w14:textId="0CAB4046" w:rsidR="001C19BA"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Pr>
          <w:rFonts w:cs="David" w:hint="cs"/>
          <w:kern w:val="28"/>
          <w:u w:val="single"/>
          <w:rtl/>
          <w:lang w:eastAsia="he-IL"/>
        </w:rPr>
        <w:t xml:space="preserve">סעיף </w:t>
      </w:r>
      <w:r w:rsidRPr="001C19BA">
        <w:rPr>
          <w:rFonts w:cs="David" w:hint="cs"/>
          <w:kern w:val="28"/>
          <w:u w:val="single"/>
          <w:rtl/>
          <w:lang w:eastAsia="he-IL"/>
        </w:rPr>
        <w:t>5</w:t>
      </w:r>
      <w:r w:rsidR="00D7473B">
        <w:rPr>
          <w:rFonts w:cs="David" w:hint="cs"/>
          <w:kern w:val="28"/>
          <w:u w:val="single"/>
          <w:rtl/>
          <w:lang w:eastAsia="he-IL"/>
        </w:rPr>
        <w:t xml:space="preserve"> להצעה</w:t>
      </w:r>
      <w:r w:rsidRPr="001C19BA">
        <w:rPr>
          <w:rFonts w:cs="David" w:hint="cs"/>
          <w:kern w:val="28"/>
          <w:rtl/>
          <w:lang w:eastAsia="he-IL"/>
        </w:rPr>
        <w:t xml:space="preserve"> </w:t>
      </w:r>
      <w:r w:rsidRPr="001C19BA">
        <w:rPr>
          <w:rFonts w:cs="David"/>
          <w:kern w:val="28"/>
          <w:rtl/>
          <w:lang w:eastAsia="he-IL"/>
        </w:rPr>
        <w:t>–</w:t>
      </w:r>
      <w:r w:rsidRPr="001C19BA">
        <w:rPr>
          <w:rFonts w:cs="David" w:hint="cs"/>
          <w:kern w:val="28"/>
          <w:rtl/>
          <w:lang w:eastAsia="he-IL"/>
        </w:rPr>
        <w:t xml:space="preserve"> קביעה כי עמידה בתנאי מסמך המדיניות יהווה תנאי להיתר לשימוש למגורים משנה מעמדו של מסמך המדיניות למסמך סטטוטורי. אם כן, יש לקבוע כללים מפורטים באשר להליך גיבושו ואישורו של מסמך המדיניות, לרבות הליכי שיתוף ציבור ופרסום. בעניין זה יש אף להבהיר האם מסמך מדיניות כאמור יהיה חלק מהמידע להיתר אשר נדרשת הוועדה המקומית להציג למבקש ההיתר. </w:t>
      </w:r>
    </w:p>
    <w:p w14:paraId="20CD6358" w14:textId="77777777" w:rsidR="00CE351B" w:rsidRPr="001C19BA" w:rsidRDefault="00CE351B" w:rsidP="00CE351B">
      <w:pPr>
        <w:pStyle w:val="aa"/>
        <w:keepLines/>
        <w:tabs>
          <w:tab w:val="num" w:pos="423"/>
        </w:tabs>
        <w:spacing w:after="120" w:line="360" w:lineRule="auto"/>
        <w:ind w:left="1080"/>
        <w:jc w:val="both"/>
        <w:outlineLvl w:val="0"/>
        <w:rPr>
          <w:rFonts w:cs="David"/>
          <w:kern w:val="28"/>
          <w:lang w:eastAsia="he-IL"/>
        </w:rPr>
      </w:pPr>
    </w:p>
    <w:p w14:paraId="548EB6DF" w14:textId="2F2FEB1C" w:rsidR="001C19BA" w:rsidRPr="00CE351B" w:rsidRDefault="001C19BA" w:rsidP="00CE351B">
      <w:pPr>
        <w:pStyle w:val="aa"/>
        <w:keepLines/>
        <w:numPr>
          <w:ilvl w:val="0"/>
          <w:numId w:val="5"/>
        </w:numPr>
        <w:spacing w:after="120" w:line="360" w:lineRule="auto"/>
        <w:jc w:val="both"/>
        <w:outlineLvl w:val="0"/>
        <w:rPr>
          <w:rFonts w:cs="David"/>
          <w:b/>
          <w:bCs/>
          <w:kern w:val="28"/>
          <w:sz w:val="28"/>
          <w:szCs w:val="28"/>
          <w:u w:val="single"/>
          <w:lang w:eastAsia="he-IL"/>
        </w:rPr>
      </w:pPr>
      <w:r w:rsidRPr="00CE351B">
        <w:rPr>
          <w:rFonts w:cs="David" w:hint="cs"/>
          <w:b/>
          <w:bCs/>
          <w:kern w:val="28"/>
          <w:sz w:val="28"/>
          <w:szCs w:val="28"/>
          <w:u w:val="single"/>
          <w:rtl/>
          <w:lang w:eastAsia="he-IL"/>
        </w:rPr>
        <w:t xml:space="preserve">קומה ציבורית </w:t>
      </w:r>
      <w:r w:rsidR="00D7473B" w:rsidRPr="00CE351B">
        <w:rPr>
          <w:rFonts w:cs="David" w:hint="cs"/>
          <w:b/>
          <w:bCs/>
          <w:kern w:val="28"/>
          <w:sz w:val="28"/>
          <w:szCs w:val="28"/>
          <w:u w:val="single"/>
          <w:rtl/>
          <w:lang w:eastAsia="he-IL"/>
        </w:rPr>
        <w:t xml:space="preserve"> (עמ' 80 לטיוטת הצעת המחליטים)</w:t>
      </w:r>
    </w:p>
    <w:p w14:paraId="020A68A0" w14:textId="59D869D9" w:rsidR="001C19BA" w:rsidRPr="00D7473B"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rtl/>
          <w:lang w:eastAsia="he-IL"/>
        </w:rPr>
        <w:t xml:space="preserve">כבר יובהר כי מדובר בהצעה מבורכת, אשר למעשה תעגן לראשונה את אשר נקבע לאחרונה בפסק דינו של בית המשפט העליון בעניין ע"א 731/17 </w:t>
      </w:r>
      <w:r w:rsidRPr="00D7473B">
        <w:rPr>
          <w:rFonts w:cs="David" w:hint="cs"/>
          <w:b/>
          <w:bCs/>
          <w:kern w:val="28"/>
          <w:rtl/>
          <w:lang w:eastAsia="he-IL"/>
        </w:rPr>
        <w:t>מראות ירושלים בע"מ נ' עיריית ירושלים</w:t>
      </w:r>
      <w:r w:rsidRPr="00D7473B">
        <w:rPr>
          <w:rFonts w:cs="David" w:hint="cs"/>
          <w:kern w:val="28"/>
          <w:rtl/>
          <w:lang w:eastAsia="he-IL"/>
        </w:rPr>
        <w:t xml:space="preserve"> (8.7.2021) באשר להקצאת קומה מבונה לרשות המקומית במסגרת תכנית. </w:t>
      </w:r>
    </w:p>
    <w:p w14:paraId="645C6CE8" w14:textId="2E9003CD" w:rsidR="001C19BA" w:rsidRPr="00D7473B"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rtl/>
          <w:lang w:eastAsia="he-IL"/>
        </w:rPr>
        <w:t xml:space="preserve">עם זאת, יש לעמדתנו לתחום את התקופה בה תהא הרשות לעשות שימוש ציבורי בהתאם להוראות התכנית מכוחה הועברו המקרקעין לידיה, לקבוע תקופה מינימלית לשימוש המאושר בתוכנית וכן לקבוע הוראות באשר לשימוש במקרקעין אלו לאחר תום התקופה. היינו, האם לאחר תום התקופה המינימלית כאמור, יהיה באפשרות הרשות לעשות בקומה המבונה שימוש השונה מהשימוש לצורכו נמסרה הקומה המבונה לידי העירייה בהתאם לתכנית המאושרת. </w:t>
      </w:r>
    </w:p>
    <w:p w14:paraId="48CAF59F" w14:textId="0268FD5D" w:rsidR="001C19BA"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rtl/>
          <w:lang w:eastAsia="he-IL"/>
        </w:rPr>
        <w:t xml:space="preserve">כמו כן, יש לקבוע הוראות בדבר היקף השטח שיועבר לידי הרשות וזאת בשים לב כי הקצאת הקומה המבונה לידי הרשות לא תאיין את השבחת המקרקעין. </w:t>
      </w:r>
    </w:p>
    <w:p w14:paraId="10CC9CD3" w14:textId="77777777" w:rsidR="00CE351B" w:rsidRPr="00D7473B" w:rsidRDefault="00CE351B" w:rsidP="00CE351B">
      <w:pPr>
        <w:pStyle w:val="aa"/>
        <w:keepLines/>
        <w:tabs>
          <w:tab w:val="num" w:pos="423"/>
        </w:tabs>
        <w:spacing w:after="120" w:line="360" w:lineRule="auto"/>
        <w:ind w:left="1080"/>
        <w:jc w:val="both"/>
        <w:outlineLvl w:val="0"/>
        <w:rPr>
          <w:rFonts w:cs="David"/>
          <w:kern w:val="28"/>
          <w:lang w:eastAsia="he-IL"/>
        </w:rPr>
      </w:pPr>
    </w:p>
    <w:p w14:paraId="2D3DB07A" w14:textId="09007885" w:rsidR="001C19BA" w:rsidRPr="00D7473B" w:rsidRDefault="001C19BA" w:rsidP="00CE351B">
      <w:pPr>
        <w:pStyle w:val="aa"/>
        <w:keepLines/>
        <w:numPr>
          <w:ilvl w:val="0"/>
          <w:numId w:val="5"/>
        </w:numPr>
        <w:spacing w:after="120" w:line="360" w:lineRule="auto"/>
        <w:jc w:val="both"/>
        <w:outlineLvl w:val="0"/>
        <w:rPr>
          <w:rFonts w:cs="David"/>
          <w:b/>
          <w:bCs/>
          <w:kern w:val="28"/>
          <w:u w:val="single"/>
          <w:rtl/>
          <w:lang w:eastAsia="he-IL"/>
        </w:rPr>
      </w:pPr>
      <w:r w:rsidRPr="00CE351B">
        <w:rPr>
          <w:rFonts w:cs="David" w:hint="cs"/>
          <w:b/>
          <w:bCs/>
          <w:kern w:val="28"/>
          <w:sz w:val="28"/>
          <w:szCs w:val="28"/>
          <w:u w:val="single"/>
          <w:rtl/>
          <w:lang w:eastAsia="he-IL"/>
        </w:rPr>
        <w:t xml:space="preserve">האצה והפחתת רגולציה בענף הבנייה </w:t>
      </w:r>
      <w:r w:rsidR="00D7473B" w:rsidRPr="00CE351B">
        <w:rPr>
          <w:rFonts w:cs="David" w:hint="cs"/>
          <w:b/>
          <w:bCs/>
          <w:kern w:val="28"/>
          <w:sz w:val="28"/>
          <w:szCs w:val="28"/>
          <w:u w:val="single"/>
          <w:rtl/>
          <w:lang w:eastAsia="he-IL"/>
        </w:rPr>
        <w:t>(עמ' 81 לטיוטת הצעת המחליטים)</w:t>
      </w:r>
    </w:p>
    <w:p w14:paraId="32A7F863" w14:textId="028AD58F" w:rsidR="001C19BA" w:rsidRPr="00D7473B"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rtl/>
          <w:lang w:eastAsia="he-IL"/>
        </w:rPr>
        <w:t>בעבר נחקק פרק ה' 2 לחוק התכנון והבניה</w:t>
      </w:r>
      <w:r w:rsidR="00D7473B">
        <w:rPr>
          <w:rFonts w:cs="David" w:hint="cs"/>
          <w:kern w:val="28"/>
          <w:rtl/>
          <w:lang w:eastAsia="he-IL"/>
        </w:rPr>
        <w:t xml:space="preserve"> אשר עסק ב"רישוי עצמי", אשר א</w:t>
      </w:r>
      <w:r w:rsidRPr="00D7473B">
        <w:rPr>
          <w:rFonts w:cs="David" w:hint="cs"/>
          <w:kern w:val="28"/>
          <w:rtl/>
          <w:lang w:eastAsia="he-IL"/>
        </w:rPr>
        <w:t xml:space="preserve">פשר הוצאת היתר בניה ללא צורך בוועדה המקומית באמצעות "מורשה להיתר". הליך זה נכשל וזאת בעיקר לאור חששם של אדריכלים לחתום על היתרים כאמור מחשש לאחריות </w:t>
      </w:r>
      <w:proofErr w:type="spellStart"/>
      <w:r w:rsidRPr="00D7473B">
        <w:rPr>
          <w:rFonts w:cs="David" w:hint="cs"/>
          <w:kern w:val="28"/>
          <w:rtl/>
          <w:lang w:eastAsia="he-IL"/>
        </w:rPr>
        <w:t>בנזיקין</w:t>
      </w:r>
      <w:proofErr w:type="spellEnd"/>
      <w:r w:rsidRPr="00D7473B">
        <w:rPr>
          <w:rFonts w:cs="David" w:hint="cs"/>
          <w:kern w:val="28"/>
          <w:rtl/>
          <w:lang w:eastAsia="he-IL"/>
        </w:rPr>
        <w:t xml:space="preserve">. </w:t>
      </w:r>
    </w:p>
    <w:p w14:paraId="70F0AD0D" w14:textId="51AAB860" w:rsidR="001C19BA" w:rsidRDefault="00D7473B" w:rsidP="00CE351B">
      <w:pPr>
        <w:keepLines/>
        <w:tabs>
          <w:tab w:val="num" w:pos="423"/>
        </w:tabs>
        <w:spacing w:after="120" w:line="360" w:lineRule="auto"/>
        <w:ind w:left="1080" w:hanging="423"/>
        <w:jc w:val="both"/>
        <w:outlineLvl w:val="0"/>
        <w:rPr>
          <w:rFonts w:cs="David"/>
          <w:kern w:val="28"/>
          <w:rtl/>
          <w:lang w:eastAsia="he-IL"/>
        </w:rPr>
      </w:pPr>
      <w:r>
        <w:rPr>
          <w:rFonts w:cs="David"/>
          <w:kern w:val="28"/>
          <w:rtl/>
          <w:lang w:eastAsia="he-IL"/>
        </w:rPr>
        <w:tab/>
      </w:r>
      <w:r w:rsidR="001C19BA" w:rsidRPr="001C19BA">
        <w:rPr>
          <w:rFonts w:cs="David" w:hint="cs"/>
          <w:kern w:val="28"/>
          <w:rtl/>
          <w:lang w:eastAsia="he-IL"/>
        </w:rPr>
        <w:t xml:space="preserve">אם כן, יש להסדיר נושא זה על מנת לצמצם את החשיפה של "מורשה להיתר" לתביעות נזיקין ולעודד הוצאת היתרי בניה בדרך זו. </w:t>
      </w:r>
    </w:p>
    <w:p w14:paraId="1D7018B0" w14:textId="77777777" w:rsidR="00D7473B" w:rsidRPr="001C19BA" w:rsidRDefault="00D7473B" w:rsidP="00CE351B">
      <w:pPr>
        <w:keepLines/>
        <w:tabs>
          <w:tab w:val="num" w:pos="423"/>
        </w:tabs>
        <w:spacing w:after="120" w:line="360" w:lineRule="auto"/>
        <w:ind w:left="1080" w:hanging="423"/>
        <w:jc w:val="both"/>
        <w:outlineLvl w:val="0"/>
        <w:rPr>
          <w:rFonts w:cs="David"/>
          <w:kern w:val="28"/>
          <w:lang w:eastAsia="he-IL"/>
        </w:rPr>
      </w:pPr>
    </w:p>
    <w:p w14:paraId="5C2BC9AD" w14:textId="187A22ED" w:rsidR="001C19BA" w:rsidRPr="001C19BA" w:rsidRDefault="00D7473B" w:rsidP="00CE351B">
      <w:pPr>
        <w:keepLines/>
        <w:numPr>
          <w:ilvl w:val="0"/>
          <w:numId w:val="5"/>
        </w:numPr>
        <w:spacing w:after="120" w:line="360" w:lineRule="auto"/>
        <w:ind w:left="423" w:hanging="425"/>
        <w:jc w:val="both"/>
        <w:outlineLvl w:val="0"/>
        <w:rPr>
          <w:rFonts w:cs="David"/>
          <w:b/>
          <w:bCs/>
          <w:kern w:val="28"/>
          <w:sz w:val="28"/>
          <w:szCs w:val="28"/>
          <w:u w:val="single"/>
          <w:lang w:eastAsia="he-IL"/>
        </w:rPr>
      </w:pPr>
      <w:r w:rsidRPr="00CE351B">
        <w:rPr>
          <w:rFonts w:cs="David" w:hint="cs"/>
          <w:b/>
          <w:bCs/>
          <w:kern w:val="28"/>
          <w:sz w:val="28"/>
          <w:szCs w:val="28"/>
          <w:u w:val="single"/>
          <w:rtl/>
          <w:lang w:eastAsia="he-IL"/>
        </w:rPr>
        <w:t xml:space="preserve">ייעול עבודת רשות מקרקעי ישראל והפעילות בתחום מקרקעין - </w:t>
      </w:r>
      <w:r w:rsidR="001C19BA" w:rsidRPr="001C19BA">
        <w:rPr>
          <w:rFonts w:cs="David" w:hint="cs"/>
          <w:b/>
          <w:bCs/>
          <w:kern w:val="28"/>
          <w:sz w:val="28"/>
          <w:szCs w:val="28"/>
          <w:u w:val="single"/>
          <w:rtl/>
          <w:lang w:eastAsia="he-IL"/>
        </w:rPr>
        <w:t xml:space="preserve">הפחתת חיכוך </w:t>
      </w:r>
      <w:r w:rsidRPr="00CE351B">
        <w:rPr>
          <w:rFonts w:cs="David" w:hint="cs"/>
          <w:b/>
          <w:bCs/>
          <w:kern w:val="28"/>
          <w:sz w:val="28"/>
          <w:szCs w:val="28"/>
          <w:u w:val="single"/>
          <w:rtl/>
          <w:lang w:eastAsia="he-IL"/>
        </w:rPr>
        <w:t>(עמ' 90 לטיוטת הצעת המחליטים)</w:t>
      </w:r>
    </w:p>
    <w:p w14:paraId="16E4D8BA" w14:textId="7F8FCA6B" w:rsidR="001C19BA" w:rsidRPr="00D7473B"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u w:val="single"/>
          <w:rtl/>
          <w:lang w:eastAsia="he-IL"/>
        </w:rPr>
        <w:t>סעיף 1</w:t>
      </w:r>
      <w:r w:rsidRPr="00D7473B">
        <w:rPr>
          <w:rFonts w:cs="David" w:hint="cs"/>
          <w:kern w:val="28"/>
          <w:rtl/>
          <w:lang w:eastAsia="he-IL"/>
        </w:rPr>
        <w:t xml:space="preserve"> </w:t>
      </w:r>
      <w:r w:rsidRPr="00D7473B">
        <w:rPr>
          <w:rFonts w:cs="David"/>
          <w:kern w:val="28"/>
          <w:rtl/>
          <w:lang w:eastAsia="he-IL"/>
        </w:rPr>
        <w:t>–</w:t>
      </w:r>
      <w:r w:rsidRPr="00D7473B">
        <w:rPr>
          <w:rFonts w:cs="David" w:hint="cs"/>
          <w:kern w:val="28"/>
          <w:rtl/>
          <w:lang w:eastAsia="he-IL"/>
        </w:rPr>
        <w:t xml:space="preserve"> לא ברור מדוע וכיצד נקבעה "תקרה" של נכס בשטח של עד 280 מ"ר לצורך הפעלת המנגנון המוצע בסעיף 1 לעניין העברת הבעלות בנכסי מקרקעין שהוחכרו למטרות תעסוקה. יצוין כי בהתאם לשוק, מרבית בנייני המשרדים כוללים קומות בשטח ממוצע העולה על 1,000 מ"ר ועל כן, לכאורה הוראה זו לא תהייה אפקטיבית כלל וכלל. </w:t>
      </w:r>
    </w:p>
    <w:p w14:paraId="382D6DD5" w14:textId="77777777" w:rsidR="00CE351B"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rtl/>
          <w:lang w:eastAsia="he-IL"/>
        </w:rPr>
        <w:t>לאור האמור, המלצתנו היא להחיל את המנגנון המוצע על נכסים כמפורט בסעיף 1 בשטח של עד 1,500 מ"ר.</w:t>
      </w:r>
    </w:p>
    <w:p w14:paraId="645B1A1B" w14:textId="2FCBCABC" w:rsidR="001C19BA" w:rsidRPr="00D7473B" w:rsidRDefault="001C19BA" w:rsidP="00CE351B">
      <w:pPr>
        <w:pStyle w:val="aa"/>
        <w:keepLines/>
        <w:tabs>
          <w:tab w:val="num" w:pos="423"/>
        </w:tabs>
        <w:spacing w:after="120" w:line="360" w:lineRule="auto"/>
        <w:ind w:left="1080"/>
        <w:jc w:val="both"/>
        <w:outlineLvl w:val="0"/>
        <w:rPr>
          <w:rFonts w:cs="David"/>
          <w:kern w:val="28"/>
          <w:lang w:eastAsia="he-IL"/>
        </w:rPr>
      </w:pPr>
      <w:r w:rsidRPr="00D7473B">
        <w:rPr>
          <w:rFonts w:cs="David" w:hint="cs"/>
          <w:kern w:val="28"/>
          <w:rtl/>
          <w:lang w:eastAsia="he-IL"/>
        </w:rPr>
        <w:t xml:space="preserve"> </w:t>
      </w:r>
    </w:p>
    <w:p w14:paraId="1605630A" w14:textId="120B0F3D" w:rsidR="001C19BA" w:rsidRPr="001C19BA" w:rsidRDefault="00D7473B" w:rsidP="00CE351B">
      <w:pPr>
        <w:keepLines/>
        <w:numPr>
          <w:ilvl w:val="0"/>
          <w:numId w:val="5"/>
        </w:numPr>
        <w:spacing w:after="120" w:line="360" w:lineRule="auto"/>
        <w:ind w:left="423" w:hanging="425"/>
        <w:jc w:val="both"/>
        <w:outlineLvl w:val="0"/>
        <w:rPr>
          <w:rFonts w:cs="David"/>
          <w:b/>
          <w:bCs/>
          <w:kern w:val="28"/>
          <w:sz w:val="28"/>
          <w:szCs w:val="28"/>
          <w:u w:val="single"/>
          <w:lang w:eastAsia="he-IL"/>
        </w:rPr>
      </w:pPr>
      <w:r w:rsidRPr="00CE351B">
        <w:rPr>
          <w:rFonts w:cs="David" w:hint="cs"/>
          <w:b/>
          <w:bCs/>
          <w:kern w:val="28"/>
          <w:sz w:val="28"/>
          <w:szCs w:val="28"/>
          <w:u w:val="single"/>
          <w:rtl/>
          <w:lang w:eastAsia="he-IL"/>
        </w:rPr>
        <w:t xml:space="preserve">ייעול עבודת רשות מקרקעי ישראל והפעילות בתחום מקרקעין  - </w:t>
      </w:r>
      <w:r w:rsidR="001C19BA" w:rsidRPr="001C19BA">
        <w:rPr>
          <w:rFonts w:cs="David" w:hint="cs"/>
          <w:b/>
          <w:bCs/>
          <w:kern w:val="28"/>
          <w:sz w:val="28"/>
          <w:szCs w:val="28"/>
          <w:u w:val="single"/>
          <w:rtl/>
          <w:lang w:eastAsia="he-IL"/>
        </w:rPr>
        <w:t xml:space="preserve">הקמת ועדה ציבורית לבחינת מנגנון היטל השבחה </w:t>
      </w:r>
      <w:r w:rsidRPr="00CE351B">
        <w:rPr>
          <w:rFonts w:cs="David" w:hint="cs"/>
          <w:b/>
          <w:bCs/>
          <w:kern w:val="28"/>
          <w:sz w:val="28"/>
          <w:szCs w:val="28"/>
          <w:u w:val="single"/>
          <w:rtl/>
          <w:lang w:eastAsia="he-IL"/>
        </w:rPr>
        <w:t>(עמ' 91 לטיוטת הצעת המחליטים)</w:t>
      </w:r>
    </w:p>
    <w:p w14:paraId="67B53951" w14:textId="2C5FA148" w:rsidR="001C19BA" w:rsidRDefault="001C19BA" w:rsidP="00CE351B">
      <w:pPr>
        <w:pStyle w:val="aa"/>
        <w:keepLines/>
        <w:numPr>
          <w:ilvl w:val="0"/>
          <w:numId w:val="7"/>
        </w:numPr>
        <w:tabs>
          <w:tab w:val="num" w:pos="423"/>
        </w:tabs>
        <w:spacing w:after="120" w:line="360" w:lineRule="auto"/>
        <w:jc w:val="both"/>
        <w:outlineLvl w:val="0"/>
        <w:rPr>
          <w:rFonts w:cs="David"/>
          <w:kern w:val="28"/>
          <w:lang w:eastAsia="he-IL"/>
        </w:rPr>
      </w:pPr>
      <w:r w:rsidRPr="00D7473B">
        <w:rPr>
          <w:rFonts w:cs="David" w:hint="cs"/>
          <w:kern w:val="28"/>
          <w:rtl/>
          <w:lang w:eastAsia="he-IL"/>
        </w:rPr>
        <w:t xml:space="preserve">לעמדתנו, ועדה ציבורית אשר תבחן את מנגנון היטל ההשבחה חייבת לכלול גורמים מקצועיים "מהשטח", ועל כן, הצעתנו היא כי ועדה כאמור תכלול גם </w:t>
      </w:r>
      <w:r w:rsidR="00D7473B">
        <w:rPr>
          <w:rFonts w:cs="David" w:hint="cs"/>
          <w:kern w:val="28"/>
          <w:rtl/>
          <w:lang w:eastAsia="he-IL"/>
        </w:rPr>
        <w:t>נציג לשכת עורכי הדין</w:t>
      </w:r>
      <w:r w:rsidRPr="00D7473B">
        <w:rPr>
          <w:rFonts w:cs="David" w:hint="cs"/>
          <w:kern w:val="28"/>
          <w:rtl/>
          <w:lang w:eastAsia="he-IL"/>
        </w:rPr>
        <w:t xml:space="preserve"> הבקיא בתחום וכן יו"ר לשעבר של ועדת הערר לפיצויים והיטל השבחה אשר יתרמו מניסיונ</w:t>
      </w:r>
      <w:r w:rsidRPr="00D7473B">
        <w:rPr>
          <w:rFonts w:cs="David" w:hint="eastAsia"/>
          <w:kern w:val="28"/>
          <w:rtl/>
          <w:lang w:eastAsia="he-IL"/>
        </w:rPr>
        <w:t>ם</w:t>
      </w:r>
      <w:r w:rsidRPr="00D7473B">
        <w:rPr>
          <w:rFonts w:cs="David" w:hint="cs"/>
          <w:kern w:val="28"/>
          <w:rtl/>
          <w:lang w:eastAsia="he-IL"/>
        </w:rPr>
        <w:t xml:space="preserve">. </w:t>
      </w:r>
    </w:p>
    <w:p w14:paraId="6BBB0A24" w14:textId="77777777" w:rsidR="00CE351B" w:rsidRPr="00CE351B" w:rsidRDefault="00CE351B" w:rsidP="00CE351B">
      <w:pPr>
        <w:pStyle w:val="aa"/>
        <w:keepLines/>
        <w:spacing w:after="120" w:line="360" w:lineRule="auto"/>
        <w:ind w:left="1080"/>
        <w:jc w:val="both"/>
        <w:outlineLvl w:val="0"/>
        <w:rPr>
          <w:rFonts w:cs="David"/>
          <w:b/>
          <w:bCs/>
          <w:kern w:val="28"/>
          <w:sz w:val="28"/>
          <w:szCs w:val="28"/>
          <w:u w:val="single"/>
          <w:lang w:eastAsia="he-IL"/>
        </w:rPr>
      </w:pPr>
    </w:p>
    <w:p w14:paraId="19297E7D" w14:textId="174BD47F" w:rsidR="00854E40" w:rsidRDefault="00854E40" w:rsidP="00CE351B">
      <w:pPr>
        <w:pStyle w:val="aa"/>
        <w:keepLines/>
        <w:numPr>
          <w:ilvl w:val="0"/>
          <w:numId w:val="5"/>
        </w:numPr>
        <w:spacing w:after="120" w:line="360" w:lineRule="auto"/>
        <w:jc w:val="both"/>
        <w:outlineLvl w:val="0"/>
        <w:rPr>
          <w:rFonts w:cs="David"/>
          <w:b/>
          <w:bCs/>
          <w:kern w:val="28"/>
          <w:sz w:val="28"/>
          <w:szCs w:val="28"/>
          <w:u w:val="single"/>
          <w:lang w:eastAsia="he-IL"/>
        </w:rPr>
      </w:pPr>
      <w:r>
        <w:rPr>
          <w:rFonts w:cs="David" w:hint="cs"/>
          <w:b/>
          <w:bCs/>
          <w:kern w:val="28"/>
          <w:sz w:val="28"/>
          <w:szCs w:val="28"/>
          <w:u w:val="single"/>
          <w:rtl/>
          <w:lang w:eastAsia="he-IL"/>
        </w:rPr>
        <w:t>עידוד הליכי התחדשות עירונית (עמ' 108 לטיוטת הצעת המחליטים)</w:t>
      </w:r>
    </w:p>
    <w:p w14:paraId="17B24410" w14:textId="77777777" w:rsidR="00EE741E" w:rsidRDefault="00EE741E" w:rsidP="00EE741E">
      <w:pPr>
        <w:pStyle w:val="aa"/>
        <w:keepLines/>
        <w:numPr>
          <w:ilvl w:val="0"/>
          <w:numId w:val="7"/>
        </w:numPr>
        <w:spacing w:after="120" w:line="360" w:lineRule="auto"/>
        <w:jc w:val="both"/>
        <w:outlineLvl w:val="0"/>
        <w:rPr>
          <w:rFonts w:cs="David"/>
          <w:kern w:val="28"/>
          <w:lang w:eastAsia="he-IL"/>
        </w:rPr>
      </w:pPr>
      <w:r>
        <w:rPr>
          <w:rFonts w:cs="David" w:hint="cs"/>
          <w:kern w:val="28"/>
          <w:u w:val="single"/>
          <w:rtl/>
          <w:lang w:eastAsia="he-IL"/>
        </w:rPr>
        <w:t xml:space="preserve">ס' 1 - </w:t>
      </w:r>
      <w:r w:rsidRPr="00EE741E">
        <w:rPr>
          <w:rFonts w:cs="David"/>
          <w:kern w:val="28"/>
          <w:rtl/>
          <w:lang w:eastAsia="he-IL"/>
        </w:rPr>
        <w:t>לשכת עוה"ד מקדמת בברכה את הכוונה לקבוע שיעורי היטל השבחה מופחתים על מנת לעודד תהליכי התחדשות עירונית.</w:t>
      </w:r>
      <w:r>
        <w:rPr>
          <w:rFonts w:cs="David" w:hint="cs"/>
          <w:kern w:val="28"/>
          <w:rtl/>
          <w:lang w:eastAsia="he-IL"/>
        </w:rPr>
        <w:t xml:space="preserve"> </w:t>
      </w:r>
      <w:r w:rsidRPr="00EE741E">
        <w:rPr>
          <w:rFonts w:cs="David"/>
          <w:kern w:val="28"/>
          <w:rtl/>
          <w:lang w:eastAsia="he-IL"/>
        </w:rPr>
        <w:t>יחד עם זאת קביעת שיעורים אחידים על פי מדיניות הרשות לא תוביל בהכרח לעידוד תהליכי התחדשות עירונית במתחמים בהם לא קיימת מלכתחילה כדאיות כלכלית.</w:t>
      </w:r>
    </w:p>
    <w:p w14:paraId="2B42FAD2" w14:textId="780873ED" w:rsidR="00EE741E" w:rsidRPr="00EE741E" w:rsidRDefault="00EE741E" w:rsidP="00EE741E">
      <w:pPr>
        <w:pStyle w:val="aa"/>
        <w:keepLines/>
        <w:spacing w:after="120" w:line="360" w:lineRule="auto"/>
        <w:ind w:left="1080"/>
        <w:jc w:val="both"/>
        <w:outlineLvl w:val="0"/>
        <w:rPr>
          <w:rFonts w:cs="David"/>
          <w:kern w:val="28"/>
          <w:rtl/>
          <w:lang w:eastAsia="he-IL"/>
        </w:rPr>
      </w:pPr>
      <w:r>
        <w:rPr>
          <w:rFonts w:cs="David"/>
          <w:kern w:val="28"/>
          <w:rtl/>
          <w:lang w:eastAsia="he-IL"/>
        </w:rPr>
        <w:t>ל</w:t>
      </w:r>
      <w:r>
        <w:rPr>
          <w:rFonts w:cs="David" w:hint="cs"/>
          <w:kern w:val="28"/>
          <w:rtl/>
          <w:lang w:eastAsia="he-IL"/>
        </w:rPr>
        <w:t>טעמנו</w:t>
      </w:r>
      <w:r w:rsidRPr="00EE741E">
        <w:rPr>
          <w:rFonts w:cs="David"/>
          <w:kern w:val="28"/>
          <w:rtl/>
          <w:lang w:eastAsia="he-IL"/>
        </w:rPr>
        <w:t xml:space="preserve"> יש לקבוע כי השיעור האחיד המופחת במתחמי התחדשות עירונית יעמוד על 25% והרשות תהיה רשאית לקבוע עליה בשיעורי היטלי ההשבחה אך ורק מקום בו נערכה בדיקה כלכלית ראויה ונמצא כי שיעורי הרווח מצדיקים זאת.</w:t>
      </w:r>
    </w:p>
    <w:p w14:paraId="5323C0E3" w14:textId="291B9C71" w:rsidR="00854E40" w:rsidRPr="0074526B" w:rsidRDefault="00EE741E" w:rsidP="0074526B">
      <w:pPr>
        <w:pStyle w:val="aa"/>
        <w:keepLines/>
        <w:spacing w:after="120" w:line="360" w:lineRule="auto"/>
        <w:ind w:left="1080"/>
        <w:jc w:val="both"/>
        <w:outlineLvl w:val="0"/>
        <w:rPr>
          <w:rFonts w:cs="David"/>
          <w:kern w:val="28"/>
          <w:rtl/>
          <w:lang w:eastAsia="he-IL"/>
        </w:rPr>
      </w:pPr>
      <w:r w:rsidRPr="00EE741E">
        <w:rPr>
          <w:rFonts w:cs="David"/>
          <w:kern w:val="28"/>
          <w:rtl/>
          <w:lang w:eastAsia="he-IL"/>
        </w:rPr>
        <w:t>בהקשר זה יש לקבוע כ</w:t>
      </w:r>
      <w:r>
        <w:rPr>
          <w:rFonts w:cs="David"/>
          <w:kern w:val="28"/>
          <w:rtl/>
          <w:lang w:eastAsia="he-IL"/>
        </w:rPr>
        <w:t>ללים אחידים להכנת שומת כדאיות ל</w:t>
      </w:r>
      <w:r w:rsidRPr="00EE741E">
        <w:rPr>
          <w:rFonts w:cs="David"/>
          <w:kern w:val="28"/>
          <w:rtl/>
          <w:lang w:eastAsia="he-IL"/>
        </w:rPr>
        <w:t xml:space="preserve">פרויקטים של התחדשות עירונית. </w:t>
      </w:r>
      <w:r w:rsidR="0074526B" w:rsidRPr="0074526B">
        <w:rPr>
          <w:rFonts w:cs="David"/>
          <w:kern w:val="28"/>
          <w:rtl/>
          <w:lang w:eastAsia="he-IL"/>
        </w:rPr>
        <w:t>כללים אלו יאוגדו לתקן שמאי מחייב</w:t>
      </w:r>
      <w:r w:rsidR="0074526B">
        <w:rPr>
          <w:rFonts w:cs="David" w:hint="cs"/>
          <w:kern w:val="28"/>
          <w:rtl/>
          <w:lang w:eastAsia="he-IL"/>
        </w:rPr>
        <w:t xml:space="preserve">, </w:t>
      </w:r>
      <w:r w:rsidRPr="0074526B">
        <w:rPr>
          <w:rFonts w:cs="David"/>
          <w:kern w:val="28"/>
          <w:rtl/>
          <w:lang w:eastAsia="he-IL"/>
        </w:rPr>
        <w:t>כמו כן יש לאפשר במסגרת הכללים לכלול תשלומים שניתנים לבעלי הדירות בגין דמי ניהול (מיסי ועד) לתקופה של עד חמש שנים, תשלומי ביניים עבור דמי תיווך לאיתור דירות בתקופת הבינים.</w:t>
      </w:r>
    </w:p>
    <w:p w14:paraId="6C7E44D5" w14:textId="5F1A071A" w:rsidR="00EE741E" w:rsidRPr="00EE741E" w:rsidRDefault="00EE741E" w:rsidP="00EE741E">
      <w:pPr>
        <w:pStyle w:val="aa"/>
        <w:keepLines/>
        <w:numPr>
          <w:ilvl w:val="0"/>
          <w:numId w:val="7"/>
        </w:numPr>
        <w:spacing w:after="120" w:line="360" w:lineRule="auto"/>
        <w:jc w:val="both"/>
        <w:outlineLvl w:val="0"/>
        <w:rPr>
          <w:rFonts w:cs="David"/>
          <w:kern w:val="28"/>
          <w:rtl/>
          <w:lang w:eastAsia="he-IL"/>
        </w:rPr>
      </w:pPr>
      <w:r w:rsidRPr="00EE741E">
        <w:rPr>
          <w:rFonts w:cs="David" w:hint="cs"/>
          <w:kern w:val="28"/>
          <w:u w:val="single"/>
          <w:rtl/>
          <w:lang w:eastAsia="he-IL"/>
        </w:rPr>
        <w:t xml:space="preserve">ס' 2 </w:t>
      </w:r>
      <w:r>
        <w:rPr>
          <w:rFonts w:cs="David" w:hint="cs"/>
          <w:kern w:val="28"/>
          <w:u w:val="single"/>
          <w:rtl/>
          <w:lang w:eastAsia="he-IL"/>
        </w:rPr>
        <w:t>.א-ד</w:t>
      </w:r>
      <w:r w:rsidRPr="00EE741E">
        <w:rPr>
          <w:rFonts w:cs="David" w:hint="cs"/>
          <w:kern w:val="28"/>
          <w:u w:val="single"/>
          <w:rtl/>
          <w:lang w:eastAsia="he-IL"/>
        </w:rPr>
        <w:t>-</w:t>
      </w:r>
      <w:r>
        <w:rPr>
          <w:rFonts w:cs="David" w:hint="cs"/>
          <w:kern w:val="28"/>
          <w:rtl/>
          <w:lang w:eastAsia="he-IL"/>
        </w:rPr>
        <w:t xml:space="preserve"> </w:t>
      </w:r>
      <w:r w:rsidRPr="00EE741E">
        <w:rPr>
          <w:rFonts w:cs="David"/>
          <w:kern w:val="28"/>
          <w:rtl/>
          <w:lang w:eastAsia="he-IL"/>
        </w:rPr>
        <w:t>לשכת עוה"ד מקדמת בברכה את הקטנת השיעור הדרוש לשם הגשת תביעה כנגד בעל דירה המתנגד מחמת סירוב בלתי סביר.</w:t>
      </w:r>
    </w:p>
    <w:p w14:paraId="43239624" w14:textId="77777777" w:rsidR="00EE741E" w:rsidRP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 xml:space="preserve">באשר לבעל דירה המתנגד מחמת בניה שלא כדין – סבורה לשכת עוה"ד כי העברת כל התנגדות כזו לדיון בית המשפט תיצור סחבת. לפיכך יש לקבוע כללים לגבי בניה שלא כדין הכוללים בין היתר חזקה כי מי שקיים כנגדו צו שיפוי ו/או </w:t>
      </w:r>
      <w:proofErr w:type="spellStart"/>
      <w:r w:rsidRPr="00EE741E">
        <w:rPr>
          <w:rFonts w:cs="David"/>
          <w:kern w:val="28"/>
          <w:rtl/>
          <w:lang w:eastAsia="he-IL"/>
        </w:rPr>
        <w:t>מינהלי</w:t>
      </w:r>
      <w:proofErr w:type="spellEnd"/>
      <w:r w:rsidRPr="00EE741E">
        <w:rPr>
          <w:rFonts w:cs="David"/>
          <w:kern w:val="28"/>
          <w:rtl/>
          <w:lang w:eastAsia="he-IL"/>
        </w:rPr>
        <w:t xml:space="preserve"> </w:t>
      </w:r>
      <w:proofErr w:type="spellStart"/>
      <w:r w:rsidRPr="00EE741E">
        <w:rPr>
          <w:rFonts w:cs="David"/>
          <w:kern w:val="28"/>
          <w:rtl/>
          <w:lang w:eastAsia="he-IL"/>
        </w:rPr>
        <w:t>סרובו</w:t>
      </w:r>
      <w:proofErr w:type="spellEnd"/>
      <w:r w:rsidRPr="00EE741E">
        <w:rPr>
          <w:rFonts w:cs="David"/>
          <w:kern w:val="28"/>
          <w:rtl/>
          <w:lang w:eastAsia="he-IL"/>
        </w:rPr>
        <w:t xml:space="preserve"> ייחשב </w:t>
      </w:r>
      <w:proofErr w:type="spellStart"/>
      <w:r w:rsidRPr="00EE741E">
        <w:rPr>
          <w:rFonts w:cs="David"/>
          <w:kern w:val="28"/>
          <w:rtl/>
          <w:lang w:eastAsia="he-IL"/>
        </w:rPr>
        <w:t>כסרוב</w:t>
      </w:r>
      <w:proofErr w:type="spellEnd"/>
      <w:r w:rsidRPr="00EE741E">
        <w:rPr>
          <w:rFonts w:cs="David"/>
          <w:kern w:val="28"/>
          <w:rtl/>
          <w:lang w:eastAsia="he-IL"/>
        </w:rPr>
        <w:t xml:space="preserve"> בלתי סביר. </w:t>
      </w:r>
    </w:p>
    <w:p w14:paraId="2B0F2BC6" w14:textId="234D6B3A" w:rsid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לגבי צירוף תביעת בעלי דירות לתביעת היזם כנגד הדייר הסרבן יש לציין כי הימנעות בעלי הדירות להצטרף לתביעת היזם לא תימנע מהם בעתיד להגיש תביעה.</w:t>
      </w:r>
    </w:p>
    <w:p w14:paraId="6C17512E" w14:textId="252509F7" w:rsidR="0074526B" w:rsidRDefault="0074526B" w:rsidP="00EE741E">
      <w:pPr>
        <w:pStyle w:val="aa"/>
        <w:keepLines/>
        <w:spacing w:after="120" w:line="360" w:lineRule="auto"/>
        <w:ind w:left="1080"/>
        <w:jc w:val="both"/>
        <w:outlineLvl w:val="0"/>
        <w:rPr>
          <w:rFonts w:cs="David"/>
          <w:kern w:val="28"/>
          <w:rtl/>
          <w:lang w:eastAsia="he-IL"/>
        </w:rPr>
      </w:pPr>
      <w:r w:rsidRPr="0074526B">
        <w:rPr>
          <w:rFonts w:cs="David"/>
          <w:kern w:val="28"/>
          <w:rtl/>
          <w:lang w:eastAsia="he-IL"/>
        </w:rPr>
        <w:t>מוצע להחיל את הכללים ביחס להליכים כנגד דייר סרבן אף על הליכים מכוח תמ"א 38.</w:t>
      </w:r>
    </w:p>
    <w:p w14:paraId="053B8D8D" w14:textId="77777777" w:rsidR="00EE741E" w:rsidRPr="00EE741E" w:rsidRDefault="00EE741E" w:rsidP="00EE741E">
      <w:pPr>
        <w:pStyle w:val="aa"/>
        <w:keepLines/>
        <w:numPr>
          <w:ilvl w:val="0"/>
          <w:numId w:val="7"/>
        </w:numPr>
        <w:spacing w:after="120" w:line="360" w:lineRule="auto"/>
        <w:jc w:val="both"/>
        <w:outlineLvl w:val="0"/>
        <w:rPr>
          <w:rFonts w:cs="David"/>
          <w:kern w:val="28"/>
          <w:rtl/>
          <w:lang w:eastAsia="he-IL"/>
        </w:rPr>
      </w:pPr>
      <w:r w:rsidRPr="00EE741E">
        <w:rPr>
          <w:rFonts w:cs="David" w:hint="cs"/>
          <w:kern w:val="28"/>
          <w:u w:val="single"/>
          <w:rtl/>
          <w:lang w:eastAsia="he-IL"/>
        </w:rPr>
        <w:t>ס' 2.ה. -</w:t>
      </w:r>
      <w:r>
        <w:rPr>
          <w:rFonts w:cs="David" w:hint="cs"/>
          <w:kern w:val="28"/>
          <w:rtl/>
          <w:lang w:eastAsia="he-IL"/>
        </w:rPr>
        <w:t xml:space="preserve"> </w:t>
      </w:r>
      <w:r w:rsidRPr="00EE741E">
        <w:rPr>
          <w:rFonts w:cs="David"/>
          <w:kern w:val="28"/>
          <w:rtl/>
          <w:lang w:eastAsia="he-IL"/>
        </w:rPr>
        <w:t>בכל הקשור לביטול התקשרות מחמת מסירת מידע כוזב- יש לפרט מהו מידע כוזב וכן לאפשר ליזם מנגנון תיקון במקרה בו נמסר מידע מאוחר יותר אשר יש בו לרפא את הפגמים.</w:t>
      </w:r>
    </w:p>
    <w:p w14:paraId="0AF8E37A" w14:textId="18FBFDB5" w:rsidR="00EE741E" w:rsidRDefault="00EE741E" w:rsidP="00EE741E">
      <w:pPr>
        <w:pStyle w:val="aa"/>
        <w:keepLines/>
        <w:spacing w:after="120" w:line="360" w:lineRule="auto"/>
        <w:ind w:left="1080"/>
        <w:jc w:val="both"/>
        <w:outlineLvl w:val="0"/>
        <w:rPr>
          <w:rFonts w:cs="David"/>
          <w:kern w:val="28"/>
          <w:rtl/>
          <w:lang w:eastAsia="he-IL"/>
        </w:rPr>
      </w:pPr>
      <w:r>
        <w:rPr>
          <w:rFonts w:cs="David" w:hint="cs"/>
          <w:kern w:val="28"/>
          <w:rtl/>
          <w:lang w:eastAsia="he-IL"/>
        </w:rPr>
        <w:t>ז</w:t>
      </w:r>
      <w:r w:rsidRPr="00EE741E">
        <w:rPr>
          <w:rFonts w:cs="David"/>
          <w:kern w:val="28"/>
          <w:rtl/>
          <w:lang w:eastAsia="he-IL"/>
        </w:rPr>
        <w:t>את ועוד בטרם קביעת זכות הביטול יש להטיל חובה על היזם לעדכן בכתב את בעלי הדירות כל פרק זמן קצוב או בכל שיעור קבוע של חתימות – אודות ש</w:t>
      </w:r>
      <w:r>
        <w:rPr>
          <w:rFonts w:cs="David"/>
          <w:kern w:val="28"/>
          <w:rtl/>
          <w:lang w:eastAsia="he-IL"/>
        </w:rPr>
        <w:t xml:space="preserve">יעור החותמים באחוזים ואת תנאי </w:t>
      </w:r>
      <w:proofErr w:type="spellStart"/>
      <w:r>
        <w:rPr>
          <w:rFonts w:cs="David"/>
          <w:kern w:val="28"/>
          <w:rtl/>
          <w:lang w:eastAsia="he-IL"/>
        </w:rPr>
        <w:t>ה</w:t>
      </w:r>
      <w:r w:rsidR="0074526B">
        <w:rPr>
          <w:rFonts w:cs="David" w:hint="cs"/>
          <w:kern w:val="28"/>
          <w:rtl/>
          <w:lang w:eastAsia="he-IL"/>
        </w:rPr>
        <w:t>ע</w:t>
      </w:r>
      <w:r w:rsidRPr="00EE741E">
        <w:rPr>
          <w:rFonts w:cs="David"/>
          <w:kern w:val="28"/>
          <w:rtl/>
          <w:lang w:eastAsia="he-IL"/>
        </w:rPr>
        <w:t>יסקה</w:t>
      </w:r>
      <w:proofErr w:type="spellEnd"/>
      <w:r w:rsidRPr="00EE741E">
        <w:rPr>
          <w:rFonts w:cs="David"/>
          <w:kern w:val="28"/>
          <w:rtl/>
          <w:lang w:eastAsia="he-IL"/>
        </w:rPr>
        <w:t>.</w:t>
      </w:r>
    </w:p>
    <w:p w14:paraId="703348A6" w14:textId="4EEBF94D" w:rsidR="00EE741E" w:rsidRPr="00EE741E" w:rsidRDefault="00EE741E" w:rsidP="00EE741E">
      <w:pPr>
        <w:pStyle w:val="aa"/>
        <w:keepLines/>
        <w:numPr>
          <w:ilvl w:val="0"/>
          <w:numId w:val="7"/>
        </w:numPr>
        <w:spacing w:after="120" w:line="360" w:lineRule="auto"/>
        <w:jc w:val="both"/>
        <w:outlineLvl w:val="0"/>
        <w:rPr>
          <w:rFonts w:cs="David"/>
          <w:kern w:val="28"/>
          <w:rtl/>
          <w:lang w:eastAsia="he-IL"/>
        </w:rPr>
      </w:pPr>
      <w:r w:rsidRPr="00EE741E">
        <w:rPr>
          <w:rFonts w:cs="David" w:hint="cs"/>
          <w:kern w:val="28"/>
          <w:u w:val="single"/>
          <w:rtl/>
          <w:lang w:eastAsia="he-IL"/>
        </w:rPr>
        <w:t>ס' 3 -</w:t>
      </w:r>
      <w:r>
        <w:rPr>
          <w:rFonts w:cs="David" w:hint="cs"/>
          <w:kern w:val="28"/>
          <w:rtl/>
          <w:lang w:eastAsia="he-IL"/>
        </w:rPr>
        <w:t xml:space="preserve"> </w:t>
      </w:r>
      <w:r w:rsidR="0074526B">
        <w:rPr>
          <w:rFonts w:cs="David"/>
          <w:kern w:val="28"/>
          <w:rtl/>
          <w:lang w:eastAsia="he-IL"/>
        </w:rPr>
        <w:t>לדעת הלשכה יש בה</w:t>
      </w:r>
      <w:r w:rsidRPr="00EE741E">
        <w:rPr>
          <w:rFonts w:cs="David"/>
          <w:kern w:val="28"/>
          <w:rtl/>
          <w:lang w:eastAsia="he-IL"/>
        </w:rPr>
        <w:t>קלות המוצעות בהכרזה על מתחמי פינוי בינוי על מנת לייעל את התהליכים.</w:t>
      </w:r>
    </w:p>
    <w:p w14:paraId="0B89B900" w14:textId="7E4954E0" w:rsid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לאור האמור לעיל, נראה כי לא נכון יהיה לבטל את האפשרות הקיימת על פי סעיף 15 ג' לחוק הרשות להתחדשות עירונית להכרזה על מתחם קטן אשר בנויות בו 12 יח"ד ועל פי התכנון החדש יבנו בו מעל ל 24 יחידות דיור חדשות.</w:t>
      </w:r>
    </w:p>
    <w:p w14:paraId="0983E72D" w14:textId="77777777" w:rsidR="00EE741E" w:rsidRPr="00EE741E" w:rsidRDefault="00EE741E" w:rsidP="00EE741E">
      <w:pPr>
        <w:pStyle w:val="aa"/>
        <w:keepLines/>
        <w:numPr>
          <w:ilvl w:val="0"/>
          <w:numId w:val="7"/>
        </w:numPr>
        <w:spacing w:after="120" w:line="360" w:lineRule="auto"/>
        <w:jc w:val="both"/>
        <w:outlineLvl w:val="0"/>
        <w:rPr>
          <w:rFonts w:cs="David"/>
          <w:kern w:val="28"/>
          <w:rtl/>
          <w:lang w:eastAsia="he-IL"/>
        </w:rPr>
      </w:pPr>
      <w:r>
        <w:rPr>
          <w:rFonts w:cs="David" w:hint="cs"/>
          <w:kern w:val="28"/>
          <w:rtl/>
          <w:lang w:eastAsia="he-IL"/>
        </w:rPr>
        <w:t xml:space="preserve">ס' 4 - </w:t>
      </w:r>
      <w:r w:rsidRPr="00EE741E">
        <w:rPr>
          <w:rFonts w:cs="David"/>
          <w:kern w:val="28"/>
          <w:rtl/>
          <w:lang w:eastAsia="he-IL"/>
        </w:rPr>
        <w:t>יש לתת את הדעת לכך כי לעיתים היזם מקדם את הטיפול ואולם בשל התנהלות הרשות לא ניתן להגיש תוכנית (לדוגמא במקרה בו הרשות מכינה תוכנית אב או תוכנית מדיניות כללית). במקרים אלו יש לאפשר את הארכת ההתקשרות לפרק זמן נוסף מעבר לשנה אחת בכפוף להמצאת אישור אדריכל על קיום המניעה וכן בכפול לחתימה על הסכמים על לפחות 40% מבעלי הדירות.</w:t>
      </w:r>
    </w:p>
    <w:p w14:paraId="5E4A0265" w14:textId="07A21661" w:rsid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יש לצמצם את זכות היזם לקבל פיצוי כספי במקרה בו לא עמד במועדים. בכל אופן אין להשית על בעלי הדירות כל תשלום.</w:t>
      </w:r>
    </w:p>
    <w:p w14:paraId="113E17E3" w14:textId="75E088CF" w:rsidR="00EE741E" w:rsidRDefault="00EE741E" w:rsidP="00EE741E">
      <w:pPr>
        <w:pStyle w:val="aa"/>
        <w:keepLines/>
        <w:numPr>
          <w:ilvl w:val="0"/>
          <w:numId w:val="7"/>
        </w:numPr>
        <w:spacing w:after="120" w:line="360" w:lineRule="auto"/>
        <w:jc w:val="both"/>
        <w:outlineLvl w:val="0"/>
        <w:rPr>
          <w:rFonts w:cs="David"/>
          <w:kern w:val="28"/>
          <w:lang w:eastAsia="he-IL"/>
        </w:rPr>
      </w:pPr>
      <w:r w:rsidRPr="00EE741E">
        <w:rPr>
          <w:rFonts w:cs="David" w:hint="cs"/>
          <w:kern w:val="28"/>
          <w:u w:val="single"/>
          <w:rtl/>
          <w:lang w:eastAsia="he-IL"/>
        </w:rPr>
        <w:t>ס' 5 -</w:t>
      </w:r>
      <w:r>
        <w:rPr>
          <w:rFonts w:cs="David" w:hint="cs"/>
          <w:kern w:val="28"/>
          <w:rtl/>
          <w:lang w:eastAsia="he-IL"/>
        </w:rPr>
        <w:t xml:space="preserve"> </w:t>
      </w:r>
      <w:r w:rsidRPr="00EE741E">
        <w:rPr>
          <w:rFonts w:cs="David"/>
          <w:kern w:val="28"/>
          <w:rtl/>
          <w:lang w:eastAsia="he-IL"/>
        </w:rPr>
        <w:t>הגדלת הפטור הקיים לבעלים של מ</w:t>
      </w:r>
      <w:r w:rsidR="0074526B">
        <w:rPr>
          <w:rFonts w:cs="David"/>
          <w:kern w:val="28"/>
          <w:rtl/>
          <w:lang w:eastAsia="he-IL"/>
        </w:rPr>
        <w:t>ספר יחידות במתחם תסייע בקידום ע</w:t>
      </w:r>
      <w:r w:rsidRPr="00EE741E">
        <w:rPr>
          <w:rFonts w:cs="David"/>
          <w:kern w:val="28"/>
          <w:rtl/>
          <w:lang w:eastAsia="he-IL"/>
        </w:rPr>
        <w:t>סקאות התחדשות</w:t>
      </w:r>
      <w:r w:rsidR="0074526B">
        <w:rPr>
          <w:rFonts w:cs="David"/>
          <w:kern w:val="28"/>
          <w:rtl/>
          <w:lang w:eastAsia="he-IL"/>
        </w:rPr>
        <w:t xml:space="preserve"> עירונית. יש להבהיר כי הפטור י</w:t>
      </w:r>
      <w:r w:rsidR="0074526B">
        <w:rPr>
          <w:rFonts w:cs="David" w:hint="cs"/>
          <w:kern w:val="28"/>
          <w:rtl/>
          <w:lang w:eastAsia="he-IL"/>
        </w:rPr>
        <w:t>ינת</w:t>
      </w:r>
      <w:r w:rsidRPr="00EE741E">
        <w:rPr>
          <w:rFonts w:cs="David"/>
          <w:kern w:val="28"/>
          <w:rtl/>
          <w:lang w:eastAsia="he-IL"/>
        </w:rPr>
        <w:t>ן אף ממס ערך מוסף.</w:t>
      </w:r>
    </w:p>
    <w:p w14:paraId="76DE71E2" w14:textId="0437B3C5" w:rsidR="00EE741E" w:rsidRP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כמו כן לגבי מכירת זכויות היזם ליזם אחר – הקביעה כי תשלום מס הרכישה יקבע אך ורק על פי שיעור המזומן המשולם ובהתאם מוצע לציין כי מס שבח ישולם אך ורק בגין הרווח שנוצ</w:t>
      </w:r>
      <w:r w:rsidR="0074526B">
        <w:rPr>
          <w:rFonts w:cs="David" w:hint="cs"/>
          <w:kern w:val="28"/>
          <w:rtl/>
          <w:lang w:eastAsia="he-IL"/>
        </w:rPr>
        <w:t>ר</w:t>
      </w:r>
      <w:r w:rsidRPr="00EE741E">
        <w:rPr>
          <w:rFonts w:cs="David"/>
          <w:kern w:val="28"/>
          <w:rtl/>
          <w:lang w:eastAsia="he-IL"/>
        </w:rPr>
        <w:t xml:space="preserve"> בעקבות המכירה בניכוי ההוצאות.</w:t>
      </w:r>
      <w:r>
        <w:rPr>
          <w:rFonts w:cs="David" w:hint="cs"/>
          <w:kern w:val="28"/>
          <w:rtl/>
          <w:lang w:eastAsia="he-IL"/>
        </w:rPr>
        <w:t xml:space="preserve"> </w:t>
      </w:r>
      <w:r w:rsidR="0074526B">
        <w:rPr>
          <w:rFonts w:cs="David"/>
          <w:kern w:val="28"/>
          <w:rtl/>
          <w:lang w:eastAsia="he-IL"/>
        </w:rPr>
        <w:t>יש לצי</w:t>
      </w:r>
      <w:r w:rsidRPr="00EE741E">
        <w:rPr>
          <w:rFonts w:cs="David"/>
          <w:kern w:val="28"/>
          <w:rtl/>
          <w:lang w:eastAsia="he-IL"/>
        </w:rPr>
        <w:t>ין עוד כי תשלום היזם לעוה"ד של הדיירים ייחשב כהוצאה של היזם ותאפשר ניכוי מע"מ על פי חשבונית שנמסרה ליזם על ידי בא כוחם של בעלי הדירות.</w:t>
      </w:r>
    </w:p>
    <w:p w14:paraId="4EC3E04A" w14:textId="25A877B9" w:rsidR="00EE741E" w:rsidRP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מבוקש להבהיר עוד כי חילוט ערבות חוק מכר על ידי בעלי דירות במקרה בו יזם נקלע לקשיים ו/או הוכ</w:t>
      </w:r>
      <w:r>
        <w:rPr>
          <w:rFonts w:cs="David"/>
          <w:kern w:val="28"/>
          <w:rtl/>
          <w:lang w:eastAsia="he-IL"/>
        </w:rPr>
        <w:t>רז כפושט רגל לא ייחשב כמכירה ל</w:t>
      </w:r>
      <w:r>
        <w:rPr>
          <w:rFonts w:cs="David" w:hint="cs"/>
          <w:kern w:val="28"/>
          <w:rtl/>
          <w:lang w:eastAsia="he-IL"/>
        </w:rPr>
        <w:t>צרכ</w:t>
      </w:r>
      <w:r w:rsidRPr="00EE741E">
        <w:rPr>
          <w:rFonts w:cs="David"/>
          <w:kern w:val="28"/>
          <w:rtl/>
          <w:lang w:eastAsia="he-IL"/>
        </w:rPr>
        <w:t>י מס ולא ינוכה מסכום הערבות רכיב המע"מ ו/או רכיב מס השבח.</w:t>
      </w:r>
    </w:p>
    <w:p w14:paraId="4B805405" w14:textId="08978EC7" w:rsidR="00EE741E" w:rsidRPr="00EE741E" w:rsidRDefault="0074526B" w:rsidP="0074526B">
      <w:pPr>
        <w:pStyle w:val="aa"/>
        <w:keepLines/>
        <w:spacing w:after="120" w:line="360" w:lineRule="auto"/>
        <w:ind w:left="1080"/>
        <w:jc w:val="both"/>
        <w:outlineLvl w:val="0"/>
        <w:rPr>
          <w:rFonts w:cs="David"/>
          <w:kern w:val="28"/>
          <w:rtl/>
          <w:lang w:eastAsia="he-IL"/>
        </w:rPr>
      </w:pPr>
      <w:r>
        <w:rPr>
          <w:rFonts w:cs="David"/>
          <w:kern w:val="28"/>
          <w:rtl/>
          <w:lang w:eastAsia="he-IL"/>
        </w:rPr>
        <w:t>לגבי ע</w:t>
      </w:r>
      <w:r w:rsidR="00EE741E" w:rsidRPr="00EE741E">
        <w:rPr>
          <w:rFonts w:cs="David"/>
          <w:kern w:val="28"/>
          <w:rtl/>
          <w:lang w:eastAsia="he-IL"/>
        </w:rPr>
        <w:t>סקאות תמ"א</w:t>
      </w:r>
      <w:r>
        <w:rPr>
          <w:rFonts w:cs="David"/>
          <w:kern w:val="28"/>
          <w:rtl/>
          <w:lang w:eastAsia="he-IL"/>
        </w:rPr>
        <w:t xml:space="preserve"> 38 יש להחיל את הפטורים גם על ת</w:t>
      </w:r>
      <w:r w:rsidR="00EE741E" w:rsidRPr="00EE741E">
        <w:rPr>
          <w:rFonts w:cs="David"/>
          <w:kern w:val="28"/>
          <w:rtl/>
          <w:lang w:eastAsia="he-IL"/>
        </w:rPr>
        <w:t>כנית חלופית ככל שתאושר כזו על ידי מנהל התכנון.</w:t>
      </w:r>
    </w:p>
    <w:p w14:paraId="70413C82" w14:textId="5F8536D9" w:rsid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מוצע להעניק זיכוי מס ליז</w:t>
      </w:r>
      <w:r w:rsidR="0074526B">
        <w:rPr>
          <w:rFonts w:cs="David"/>
          <w:kern w:val="28"/>
          <w:rtl/>
          <w:lang w:eastAsia="he-IL"/>
        </w:rPr>
        <w:t>מים בגין הקמת פרוי</w:t>
      </w:r>
      <w:r w:rsidRPr="00EE741E">
        <w:rPr>
          <w:rFonts w:cs="David"/>
          <w:kern w:val="28"/>
          <w:rtl/>
          <w:lang w:eastAsia="he-IL"/>
        </w:rPr>
        <w:t>קטים להתחדשות עירונית באזורי פריפריה</w:t>
      </w:r>
      <w:r>
        <w:rPr>
          <w:rFonts w:cs="David" w:hint="cs"/>
          <w:kern w:val="28"/>
          <w:rtl/>
          <w:lang w:eastAsia="he-IL"/>
        </w:rPr>
        <w:t>.</w:t>
      </w:r>
    </w:p>
    <w:p w14:paraId="4C06D0A4" w14:textId="3B2EB307" w:rsidR="00EE741E" w:rsidRPr="00EE741E" w:rsidRDefault="00EE741E" w:rsidP="00EE741E">
      <w:pPr>
        <w:pStyle w:val="aa"/>
        <w:keepLines/>
        <w:numPr>
          <w:ilvl w:val="0"/>
          <w:numId w:val="7"/>
        </w:numPr>
        <w:spacing w:after="120" w:line="360" w:lineRule="auto"/>
        <w:jc w:val="both"/>
        <w:outlineLvl w:val="0"/>
        <w:rPr>
          <w:rFonts w:cs="David"/>
          <w:kern w:val="28"/>
          <w:rtl/>
          <w:lang w:eastAsia="he-IL"/>
        </w:rPr>
      </w:pPr>
      <w:r w:rsidRPr="00EE741E">
        <w:rPr>
          <w:rFonts w:cs="David" w:hint="cs"/>
          <w:kern w:val="28"/>
          <w:u w:val="single"/>
          <w:rtl/>
          <w:lang w:eastAsia="he-IL"/>
        </w:rPr>
        <w:t>ס' 7 -</w:t>
      </w:r>
      <w:r w:rsidRPr="00EE741E">
        <w:rPr>
          <w:rFonts w:cs="David" w:hint="cs"/>
          <w:kern w:val="28"/>
          <w:rtl/>
          <w:lang w:eastAsia="he-IL"/>
        </w:rPr>
        <w:t xml:space="preserve"> </w:t>
      </w:r>
      <w:r w:rsidRPr="00EE741E">
        <w:rPr>
          <w:rFonts w:cs="David"/>
          <w:kern w:val="28"/>
          <w:rtl/>
          <w:lang w:eastAsia="he-IL"/>
        </w:rPr>
        <w:t xml:space="preserve">יש לאפשר צירוף </w:t>
      </w:r>
      <w:r w:rsidR="0074526B">
        <w:rPr>
          <w:rFonts w:cs="David"/>
          <w:kern w:val="28"/>
          <w:rtl/>
          <w:lang w:eastAsia="he-IL"/>
        </w:rPr>
        <w:t>של כמה בנינים ולהחיל עליהם את ה</w:t>
      </w:r>
      <w:r w:rsidRPr="00EE741E">
        <w:rPr>
          <w:rFonts w:cs="David"/>
          <w:kern w:val="28"/>
          <w:rtl/>
          <w:lang w:eastAsia="he-IL"/>
        </w:rPr>
        <w:t>הוראות ביחס לבנ</w:t>
      </w:r>
      <w:r w:rsidR="0074526B">
        <w:rPr>
          <w:rFonts w:cs="David" w:hint="cs"/>
          <w:kern w:val="28"/>
          <w:rtl/>
          <w:lang w:eastAsia="he-IL"/>
        </w:rPr>
        <w:t>י</w:t>
      </w:r>
      <w:r w:rsidRPr="00EE741E">
        <w:rPr>
          <w:rFonts w:cs="David"/>
          <w:kern w:val="28"/>
          <w:rtl/>
          <w:lang w:eastAsia="he-IL"/>
        </w:rPr>
        <w:t>ין הבודד. צירוף הבנ</w:t>
      </w:r>
      <w:r w:rsidR="0074526B">
        <w:rPr>
          <w:rFonts w:cs="David" w:hint="cs"/>
          <w:kern w:val="28"/>
          <w:rtl/>
          <w:lang w:eastAsia="he-IL"/>
        </w:rPr>
        <w:t>י</w:t>
      </w:r>
      <w:r w:rsidRPr="00EE741E">
        <w:rPr>
          <w:rFonts w:cs="David"/>
          <w:kern w:val="28"/>
          <w:rtl/>
          <w:lang w:eastAsia="he-IL"/>
        </w:rPr>
        <w:t>ינים ייעשה אך ורק כאשר נדרשים מתקנים משותפים כגון חניון וכיו</w:t>
      </w:r>
      <w:r w:rsidR="0074526B">
        <w:rPr>
          <w:rFonts w:cs="David" w:hint="cs"/>
          <w:kern w:val="28"/>
          <w:rtl/>
          <w:lang w:eastAsia="he-IL"/>
        </w:rPr>
        <w:t>"</w:t>
      </w:r>
      <w:r w:rsidRPr="00EE741E">
        <w:rPr>
          <w:rFonts w:cs="David"/>
          <w:kern w:val="28"/>
          <w:rtl/>
          <w:lang w:eastAsia="he-IL"/>
        </w:rPr>
        <w:t>ב.</w:t>
      </w:r>
    </w:p>
    <w:p w14:paraId="5DC07D4E" w14:textId="6CD7B7C6" w:rsidR="00EE741E" w:rsidRDefault="00EE741E" w:rsidP="00EE741E">
      <w:pPr>
        <w:pStyle w:val="aa"/>
        <w:keepLines/>
        <w:spacing w:after="120" w:line="360" w:lineRule="auto"/>
        <w:ind w:left="1080"/>
        <w:jc w:val="both"/>
        <w:outlineLvl w:val="0"/>
        <w:rPr>
          <w:rFonts w:cs="David"/>
          <w:kern w:val="28"/>
          <w:rtl/>
          <w:lang w:eastAsia="he-IL"/>
        </w:rPr>
      </w:pPr>
      <w:r w:rsidRPr="00EE741E">
        <w:rPr>
          <w:rFonts w:cs="David"/>
          <w:kern w:val="28"/>
          <w:rtl/>
          <w:lang w:eastAsia="he-IL"/>
        </w:rPr>
        <w:t xml:space="preserve">הלשכה מקדמת בברכה את שיעורי ההיטלים המוקטנים </w:t>
      </w:r>
      <w:r w:rsidRPr="00EE741E">
        <w:rPr>
          <w:rFonts w:cs="David" w:hint="cs"/>
          <w:kern w:val="28"/>
          <w:rtl/>
          <w:lang w:eastAsia="he-IL"/>
        </w:rPr>
        <w:t xml:space="preserve">וסבורה כי </w:t>
      </w:r>
      <w:r w:rsidRPr="00EE741E">
        <w:rPr>
          <w:rFonts w:cs="David"/>
          <w:kern w:val="28"/>
          <w:rtl/>
          <w:lang w:eastAsia="he-IL"/>
        </w:rPr>
        <w:t>יש לאפשר באזורי פריפריה להקטין את שיעורי היטלי ההשבחה בכפ</w:t>
      </w:r>
      <w:r w:rsidR="0081093A">
        <w:rPr>
          <w:rFonts w:cs="David"/>
          <w:kern w:val="28"/>
          <w:rtl/>
          <w:lang w:eastAsia="he-IL"/>
        </w:rPr>
        <w:t xml:space="preserve">וף להמצאת דוח שמאי המצביע על </w:t>
      </w:r>
      <w:r w:rsidR="0081093A">
        <w:rPr>
          <w:rFonts w:cs="David" w:hint="cs"/>
          <w:kern w:val="28"/>
          <w:rtl/>
          <w:lang w:eastAsia="he-IL"/>
        </w:rPr>
        <w:t>רוו</w:t>
      </w:r>
      <w:r w:rsidR="0081093A" w:rsidRPr="00EE741E">
        <w:rPr>
          <w:rFonts w:cs="David" w:hint="cs"/>
          <w:kern w:val="28"/>
          <w:rtl/>
          <w:lang w:eastAsia="he-IL"/>
        </w:rPr>
        <w:t>חיות</w:t>
      </w:r>
      <w:r w:rsidRPr="00EE741E">
        <w:rPr>
          <w:rFonts w:cs="David"/>
          <w:kern w:val="28"/>
          <w:rtl/>
          <w:lang w:eastAsia="he-IL"/>
        </w:rPr>
        <w:t xml:space="preserve"> נמוכה.</w:t>
      </w:r>
    </w:p>
    <w:p w14:paraId="1637A6C7" w14:textId="545B84FC" w:rsidR="0081093A" w:rsidRPr="0081093A" w:rsidRDefault="0081093A" w:rsidP="0081093A">
      <w:pPr>
        <w:pStyle w:val="aa"/>
        <w:keepLines/>
        <w:numPr>
          <w:ilvl w:val="0"/>
          <w:numId w:val="7"/>
        </w:numPr>
        <w:spacing w:after="120" w:line="360" w:lineRule="auto"/>
        <w:jc w:val="both"/>
        <w:outlineLvl w:val="0"/>
        <w:rPr>
          <w:rFonts w:cs="David"/>
          <w:kern w:val="28"/>
          <w:rtl/>
          <w:lang w:eastAsia="he-IL"/>
        </w:rPr>
      </w:pPr>
      <w:r>
        <w:rPr>
          <w:rFonts w:cs="David" w:hint="cs"/>
          <w:kern w:val="28"/>
          <w:u w:val="single"/>
          <w:rtl/>
          <w:lang w:eastAsia="he-IL"/>
        </w:rPr>
        <w:t xml:space="preserve">ס' 10 - </w:t>
      </w:r>
      <w:r w:rsidRPr="0081093A">
        <w:rPr>
          <w:rFonts w:cs="David"/>
          <w:kern w:val="28"/>
          <w:rtl/>
          <w:lang w:eastAsia="he-IL"/>
        </w:rPr>
        <w:t xml:space="preserve">מוצע לקבוע מועד לטיפול בבקשה להקמת מבנה </w:t>
      </w:r>
      <w:proofErr w:type="spellStart"/>
      <w:r w:rsidRPr="0081093A">
        <w:rPr>
          <w:rFonts w:cs="David"/>
          <w:kern w:val="28"/>
          <w:rtl/>
          <w:lang w:eastAsia="he-IL"/>
        </w:rPr>
        <w:t>בתמ"א</w:t>
      </w:r>
      <w:proofErr w:type="spellEnd"/>
      <w:r w:rsidRPr="0081093A">
        <w:rPr>
          <w:rFonts w:cs="David"/>
          <w:kern w:val="28"/>
          <w:rtl/>
          <w:lang w:eastAsia="he-IL"/>
        </w:rPr>
        <w:t xml:space="preserve"> 38 אשר אינו חורג מהמדיניות.</w:t>
      </w:r>
      <w:r>
        <w:rPr>
          <w:rFonts w:cs="David" w:hint="cs"/>
          <w:kern w:val="28"/>
          <w:rtl/>
          <w:lang w:eastAsia="he-IL"/>
        </w:rPr>
        <w:t xml:space="preserve"> </w:t>
      </w:r>
      <w:r w:rsidRPr="0081093A">
        <w:rPr>
          <w:rFonts w:cs="David"/>
          <w:kern w:val="28"/>
          <w:rtl/>
          <w:lang w:eastAsia="he-IL"/>
        </w:rPr>
        <w:t>באשר לתוכנית להתחדשות עירונית יש לקבוע מועדי טיפול שיהיה בהם לתמרץ את רשות התכנון לקדם את הליכי האישור.</w:t>
      </w:r>
      <w:r>
        <w:rPr>
          <w:rFonts w:cs="David" w:hint="cs"/>
          <w:kern w:val="28"/>
          <w:rtl/>
          <w:lang w:eastAsia="he-IL"/>
        </w:rPr>
        <w:t xml:space="preserve"> </w:t>
      </w:r>
      <w:r w:rsidRPr="0081093A">
        <w:rPr>
          <w:rFonts w:cs="David"/>
          <w:kern w:val="28"/>
          <w:rtl/>
          <w:lang w:eastAsia="he-IL"/>
        </w:rPr>
        <w:t xml:space="preserve">כמו כן יש לקבוע כי בחלוף המועדים שיקבעו יעבור הדיון לוועדה המחוזית לבקשת מגישי </w:t>
      </w:r>
      <w:proofErr w:type="spellStart"/>
      <w:r w:rsidRPr="0081093A">
        <w:rPr>
          <w:rFonts w:cs="David"/>
          <w:kern w:val="28"/>
          <w:rtl/>
          <w:lang w:eastAsia="he-IL"/>
        </w:rPr>
        <w:t>התבוכנית</w:t>
      </w:r>
      <w:proofErr w:type="spellEnd"/>
      <w:r w:rsidRPr="0081093A">
        <w:rPr>
          <w:rFonts w:cs="David"/>
          <w:kern w:val="28"/>
          <w:rtl/>
          <w:lang w:eastAsia="he-IL"/>
        </w:rPr>
        <w:t>.</w:t>
      </w:r>
    </w:p>
    <w:p w14:paraId="2AB20C9C" w14:textId="4130F1A5" w:rsidR="0081093A" w:rsidRPr="0081093A" w:rsidRDefault="0081093A" w:rsidP="0081093A">
      <w:pPr>
        <w:pStyle w:val="aa"/>
        <w:keepLines/>
        <w:numPr>
          <w:ilvl w:val="0"/>
          <w:numId w:val="7"/>
        </w:numPr>
        <w:spacing w:after="120" w:line="360" w:lineRule="auto"/>
        <w:jc w:val="both"/>
        <w:outlineLvl w:val="0"/>
        <w:rPr>
          <w:rFonts w:cs="David"/>
          <w:kern w:val="28"/>
          <w:rtl/>
          <w:lang w:eastAsia="he-IL"/>
        </w:rPr>
      </w:pPr>
      <w:r w:rsidRPr="0081093A">
        <w:rPr>
          <w:rFonts w:cs="David" w:hint="cs"/>
          <w:kern w:val="28"/>
          <w:u w:val="single"/>
          <w:rtl/>
          <w:lang w:eastAsia="he-IL"/>
        </w:rPr>
        <w:t>ס' 11 -</w:t>
      </w:r>
      <w:r w:rsidRPr="0081093A">
        <w:rPr>
          <w:rFonts w:cs="David" w:hint="cs"/>
          <w:kern w:val="28"/>
          <w:rtl/>
          <w:lang w:eastAsia="he-IL"/>
        </w:rPr>
        <w:t xml:space="preserve"> </w:t>
      </w:r>
      <w:r w:rsidRPr="0081093A">
        <w:rPr>
          <w:rFonts w:cs="David"/>
          <w:kern w:val="28"/>
          <w:rtl/>
          <w:lang w:eastAsia="he-IL"/>
        </w:rPr>
        <w:t xml:space="preserve">מבוקש לכלול בוועדת ההיגוי נציג מטעם לשכת עורכי הדין. </w:t>
      </w:r>
      <w:r>
        <w:rPr>
          <w:rFonts w:cs="David" w:hint="cs"/>
          <w:kern w:val="28"/>
          <w:rtl/>
          <w:lang w:eastAsia="he-IL"/>
        </w:rPr>
        <w:t>ע</w:t>
      </w:r>
      <w:r w:rsidRPr="0081093A">
        <w:rPr>
          <w:rFonts w:cs="David"/>
          <w:kern w:val="28"/>
          <w:rtl/>
          <w:lang w:eastAsia="he-IL"/>
        </w:rPr>
        <w:t xml:space="preserve">וה"ד מעורבים בכל </w:t>
      </w:r>
      <w:proofErr w:type="spellStart"/>
      <w:r w:rsidRPr="0081093A">
        <w:rPr>
          <w:rFonts w:cs="David"/>
          <w:kern w:val="28"/>
          <w:rtl/>
          <w:lang w:eastAsia="he-IL"/>
        </w:rPr>
        <w:t>הפרוייקטים</w:t>
      </w:r>
      <w:proofErr w:type="spellEnd"/>
      <w:r w:rsidRPr="0081093A">
        <w:rPr>
          <w:rFonts w:cs="David"/>
          <w:kern w:val="28"/>
          <w:rtl/>
          <w:lang w:eastAsia="he-IL"/>
        </w:rPr>
        <w:t xml:space="preserve"> וניתן לקבל מהם מידע עדכני ומבוסס באשר לחסמים שהתגלו ודרכים לייעול התהליכים על מנת לעמוד ביעדי ההתחדשות העירונית.</w:t>
      </w:r>
    </w:p>
    <w:p w14:paraId="764CEC90" w14:textId="77777777" w:rsidR="00EE741E" w:rsidRPr="00EE741E" w:rsidRDefault="00EE741E" w:rsidP="00EE741E">
      <w:pPr>
        <w:pStyle w:val="aa"/>
        <w:keepLines/>
        <w:spacing w:after="120" w:line="360" w:lineRule="auto"/>
        <w:ind w:left="1080"/>
        <w:jc w:val="both"/>
        <w:outlineLvl w:val="0"/>
        <w:rPr>
          <w:rFonts w:cs="David"/>
          <w:kern w:val="28"/>
          <w:lang w:eastAsia="he-IL"/>
        </w:rPr>
      </w:pPr>
    </w:p>
    <w:p w14:paraId="6448DAD8" w14:textId="7BF24AB8" w:rsidR="00CE351B" w:rsidRPr="00CE351B" w:rsidRDefault="00CE351B" w:rsidP="00CE351B">
      <w:pPr>
        <w:pStyle w:val="aa"/>
        <w:keepLines/>
        <w:numPr>
          <w:ilvl w:val="0"/>
          <w:numId w:val="5"/>
        </w:numPr>
        <w:spacing w:after="120" w:line="360" w:lineRule="auto"/>
        <w:jc w:val="both"/>
        <w:outlineLvl w:val="0"/>
        <w:rPr>
          <w:rFonts w:cs="David"/>
          <w:b/>
          <w:bCs/>
          <w:kern w:val="28"/>
          <w:sz w:val="28"/>
          <w:szCs w:val="28"/>
          <w:u w:val="single"/>
          <w:rtl/>
          <w:lang w:eastAsia="he-IL"/>
        </w:rPr>
      </w:pPr>
      <w:r w:rsidRPr="00CE351B">
        <w:rPr>
          <w:rFonts w:cs="David"/>
          <w:b/>
          <w:bCs/>
          <w:kern w:val="28"/>
          <w:sz w:val="28"/>
          <w:szCs w:val="28"/>
          <w:u w:val="single"/>
          <w:rtl/>
          <w:lang w:eastAsia="he-IL"/>
        </w:rPr>
        <w:t>הקלה על מעונות יום פרטיים לפעוטות</w:t>
      </w:r>
      <w:r w:rsidRPr="00CE351B">
        <w:rPr>
          <w:rFonts w:cs="David" w:hint="cs"/>
          <w:b/>
          <w:bCs/>
          <w:kern w:val="28"/>
          <w:sz w:val="28"/>
          <w:szCs w:val="28"/>
          <w:u w:val="single"/>
          <w:rtl/>
          <w:lang w:eastAsia="he-IL"/>
        </w:rPr>
        <w:t xml:space="preserve"> (עמ' 75 לטיוטת הצעת המחליטים)</w:t>
      </w:r>
    </w:p>
    <w:p w14:paraId="28D41FC2" w14:textId="243EDF21" w:rsidR="00CE351B" w:rsidRPr="00CE351B" w:rsidRDefault="00CE351B" w:rsidP="00CE351B">
      <w:pPr>
        <w:pStyle w:val="aa"/>
        <w:keepLines/>
        <w:numPr>
          <w:ilvl w:val="0"/>
          <w:numId w:val="7"/>
        </w:numPr>
        <w:spacing w:after="120" w:line="360" w:lineRule="auto"/>
        <w:jc w:val="both"/>
        <w:outlineLvl w:val="0"/>
        <w:rPr>
          <w:rFonts w:cs="David"/>
          <w:kern w:val="28"/>
          <w:rtl/>
          <w:lang w:eastAsia="he-IL"/>
        </w:rPr>
      </w:pPr>
      <w:r>
        <w:rPr>
          <w:rFonts w:cs="David"/>
          <w:kern w:val="28"/>
          <w:rtl/>
          <w:lang w:eastAsia="he-IL"/>
        </w:rPr>
        <w:t xml:space="preserve">סעיף 1 (ה) </w:t>
      </w:r>
      <w:r>
        <w:rPr>
          <w:rFonts w:cs="David" w:hint="cs"/>
          <w:kern w:val="28"/>
          <w:rtl/>
          <w:lang w:eastAsia="he-IL"/>
        </w:rPr>
        <w:t>מעלה קושי רב</w:t>
      </w:r>
      <w:r w:rsidRPr="00CE351B">
        <w:rPr>
          <w:rFonts w:cs="David"/>
          <w:kern w:val="28"/>
          <w:rtl/>
          <w:lang w:eastAsia="he-IL"/>
        </w:rPr>
        <w:t xml:space="preserve"> שכן יכולה להיות סיטואציה בה שכנים הגישו התנגדות, רשות הרישוי התעכבה ולא דנה בכך תוך 60 יום והבקשה תאושר אוטומטית על אף ההתנגדות ולמ</w:t>
      </w:r>
      <w:r>
        <w:rPr>
          <w:rFonts w:cs="David"/>
          <w:kern w:val="28"/>
          <w:rtl/>
          <w:lang w:eastAsia="he-IL"/>
        </w:rPr>
        <w:t>רות שרשות הרישוי כלל לא דנה בה</w:t>
      </w:r>
      <w:r>
        <w:rPr>
          <w:rFonts w:cs="David" w:hint="cs"/>
          <w:kern w:val="28"/>
          <w:rtl/>
          <w:lang w:eastAsia="he-IL"/>
        </w:rPr>
        <w:t xml:space="preserve">. לא ניתן לאפשר מצב בו מתנגדים לבקשה לא יקבלו את יומם בגופים </w:t>
      </w:r>
      <w:proofErr w:type="spellStart"/>
      <w:r>
        <w:rPr>
          <w:rFonts w:cs="David" w:hint="cs"/>
          <w:kern w:val="28"/>
          <w:rtl/>
          <w:lang w:eastAsia="he-IL"/>
        </w:rPr>
        <w:t>הרלוונטים</w:t>
      </w:r>
      <w:proofErr w:type="spellEnd"/>
      <w:r>
        <w:rPr>
          <w:rFonts w:cs="David" w:hint="cs"/>
          <w:kern w:val="28"/>
          <w:rtl/>
          <w:lang w:eastAsia="he-IL"/>
        </w:rPr>
        <w:t xml:space="preserve"> להתנגד לבקשה.</w:t>
      </w:r>
    </w:p>
    <w:p w14:paraId="681D2E30" w14:textId="5E77FC3F" w:rsidR="00CE351B" w:rsidRPr="00CE351B" w:rsidRDefault="00CE351B" w:rsidP="00CE351B">
      <w:pPr>
        <w:pStyle w:val="aa"/>
        <w:keepLines/>
        <w:tabs>
          <w:tab w:val="num" w:pos="423"/>
        </w:tabs>
        <w:spacing w:before="120" w:line="360" w:lineRule="auto"/>
        <w:ind w:left="1080"/>
        <w:jc w:val="both"/>
        <w:outlineLvl w:val="0"/>
        <w:rPr>
          <w:rFonts w:cs="David"/>
          <w:kern w:val="28"/>
          <w:lang w:eastAsia="he-IL"/>
        </w:rPr>
      </w:pPr>
    </w:p>
    <w:sectPr w:rsidR="00CE351B" w:rsidRPr="00CE351B" w:rsidSect="00CC44DD">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276" w:left="1560" w:header="708" w:footer="21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2C83" w14:textId="77777777" w:rsidR="001703F4" w:rsidRDefault="001703F4" w:rsidP="000278AF">
      <w:r>
        <w:separator/>
      </w:r>
    </w:p>
  </w:endnote>
  <w:endnote w:type="continuationSeparator" w:id="0">
    <w:p w14:paraId="398951B0" w14:textId="77777777" w:rsidR="001703F4" w:rsidRDefault="001703F4" w:rsidP="0002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6BB5" w14:textId="77777777" w:rsidR="00C74A7D" w:rsidRDefault="00C74A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00" w:type="dxa"/>
      <w:tblInd w:w="-273" w:type="dxa"/>
      <w:tblLayout w:type="fixed"/>
      <w:tblLook w:val="04A0" w:firstRow="1" w:lastRow="0" w:firstColumn="1" w:lastColumn="0" w:noHBand="0" w:noVBand="1"/>
    </w:tblPr>
    <w:tblGrid>
      <w:gridCol w:w="10200"/>
    </w:tblGrid>
    <w:tr w:rsidR="00B243E7" w14:paraId="4E8C782F" w14:textId="77777777" w:rsidTr="00E9510B">
      <w:tc>
        <w:tcPr>
          <w:tcW w:w="10200" w:type="dxa"/>
          <w:tcBorders>
            <w:top w:val="single" w:sz="12" w:space="0" w:color="auto"/>
            <w:left w:val="nil"/>
            <w:bottom w:val="nil"/>
            <w:right w:val="nil"/>
          </w:tcBorders>
          <w:hideMark/>
        </w:tcPr>
        <w:p w14:paraId="0789DA68" w14:textId="77777777" w:rsidR="00B243E7" w:rsidRPr="00DE4081" w:rsidRDefault="002311AB">
          <w:pPr>
            <w:pStyle w:val="a5"/>
            <w:jc w:val="center"/>
            <w:rPr>
              <w:rFonts w:ascii="Tahoma" w:hAnsi="Tahoma" w:cs="Tahoma"/>
              <w:sz w:val="16"/>
              <w:szCs w:val="16"/>
            </w:rPr>
          </w:pPr>
          <w:r w:rsidRPr="00DE4081">
            <w:rPr>
              <w:rFonts w:ascii="Tahoma" w:hAnsi="Tahoma" w:cs="Tahoma"/>
              <w:sz w:val="16"/>
              <w:szCs w:val="16"/>
              <w:rtl/>
            </w:rPr>
            <w:t>רח' דניאל פריש 10, תל-אביב 64731, טל:03-6362200, פקס: 03-6918696</w:t>
          </w:r>
          <w:r w:rsidRPr="00DE4081">
            <w:rPr>
              <w:rFonts w:ascii="Tahoma" w:hAnsi="Tahoma" w:cs="Tahoma"/>
              <w:sz w:val="16"/>
              <w:szCs w:val="16"/>
            </w:rPr>
            <w:t>Fax:  10 DANIEL FRISH St. TEL-AVIV 64731, Tel. 03-6362200</w:t>
          </w:r>
        </w:p>
      </w:tc>
    </w:tr>
    <w:tr w:rsidR="00B243E7" w14:paraId="7019FF73" w14:textId="77777777" w:rsidTr="00E9510B">
      <w:tc>
        <w:tcPr>
          <w:tcW w:w="10200" w:type="dxa"/>
          <w:hideMark/>
        </w:tcPr>
        <w:p w14:paraId="47645B93" w14:textId="77777777" w:rsidR="00B243E7" w:rsidRPr="00DE4081" w:rsidRDefault="002311AB">
          <w:pPr>
            <w:pStyle w:val="a5"/>
            <w:bidi w:val="0"/>
            <w:jc w:val="center"/>
            <w:rPr>
              <w:b/>
              <w:bCs/>
            </w:rPr>
          </w:pPr>
          <w:r w:rsidRPr="00DE4081">
            <w:rPr>
              <w:sz w:val="18"/>
            </w:rPr>
            <w:t>http://www.israelbar.org.il    -  E-mail:  vaadmerkazi@israelbar.org.il</w:t>
          </w:r>
        </w:p>
      </w:tc>
    </w:tr>
  </w:tbl>
  <w:p w14:paraId="3069D1F2" w14:textId="77777777" w:rsidR="00B56FD4" w:rsidRPr="00600734" w:rsidRDefault="002311AB" w:rsidP="00600734">
    <w:pPr>
      <w:pStyle w:val="a5"/>
      <w:tabs>
        <w:tab w:val="clear" w:pos="4153"/>
        <w:tab w:val="clear" w:pos="8306"/>
        <w:tab w:val="left" w:pos="1916"/>
      </w:tabs>
      <w:rPr>
        <w:lang w:val="pt-BR"/>
      </w:rPr>
    </w:pPr>
    <w:r>
      <w:rPr>
        <w:rtl/>
        <w:lang w:val="pt-B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740F" w14:textId="77777777" w:rsidR="00C74A7D" w:rsidRDefault="00C74A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838C" w14:textId="77777777" w:rsidR="001703F4" w:rsidRDefault="001703F4" w:rsidP="000278AF">
      <w:r>
        <w:separator/>
      </w:r>
    </w:p>
  </w:footnote>
  <w:footnote w:type="continuationSeparator" w:id="0">
    <w:p w14:paraId="396CB04D" w14:textId="77777777" w:rsidR="001703F4" w:rsidRDefault="001703F4" w:rsidP="0002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8850" w14:textId="77777777" w:rsidR="00C74A7D" w:rsidRDefault="00C74A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1776" w14:textId="2BD6E17D" w:rsidR="00B56FD4" w:rsidRDefault="00431BF2" w:rsidP="00431BF2">
    <w:pPr>
      <w:pStyle w:val="a3"/>
      <w:jc w:val="center"/>
      <w:rPr>
        <w:rtl/>
      </w:rPr>
    </w:pPr>
    <w:r>
      <w:rPr>
        <w:rFonts w:hint="cs"/>
        <w:noProof/>
      </w:rPr>
      <w:drawing>
        <wp:inline distT="0" distB="0" distL="0" distR="0" wp14:anchorId="3FAA0307" wp14:editId="78430698">
          <wp:extent cx="1419225" cy="1257300"/>
          <wp:effectExtent l="0" t="0" r="9525" b="0"/>
          <wp:docPr id="23" name="תמונה 23" descr="IBA LOGO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LOGO ARAB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257300"/>
                  </a:xfrm>
                  <a:prstGeom prst="rect">
                    <a:avLst/>
                  </a:prstGeom>
                  <a:noFill/>
                  <a:ln>
                    <a:noFill/>
                  </a:ln>
                </pic:spPr>
              </pic:pic>
            </a:graphicData>
          </a:graphic>
        </wp:inline>
      </w:drawing>
    </w:r>
  </w:p>
  <w:p w14:paraId="6D95358D" w14:textId="77777777" w:rsidR="00431BF2" w:rsidRPr="00CC44DD" w:rsidRDefault="00431BF2" w:rsidP="00431BF2">
    <w:pPr>
      <w:pStyle w:val="a3"/>
      <w:jc w:val="center"/>
      <w:rPr>
        <w:sz w:val="16"/>
        <w:szCs w:val="16"/>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3B4F" w14:textId="77777777" w:rsidR="00C74A7D" w:rsidRDefault="00C74A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60E0"/>
    <w:multiLevelType w:val="hybridMultilevel"/>
    <w:tmpl w:val="09905086"/>
    <w:lvl w:ilvl="0" w:tplc="B748CEA4">
      <w:start w:val="1"/>
      <w:numFmt w:val="decimal"/>
      <w:lvlText w:val="%1."/>
      <w:lvlJc w:val="left"/>
      <w:pPr>
        <w:ind w:left="1080" w:hanging="720"/>
      </w:pPr>
      <w:rPr>
        <w:rFonts w:ascii="David" w:hAnsi="David" w:cs="David" w:hint="default"/>
        <w:b w:val="0"/>
        <w:b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46082"/>
    <w:multiLevelType w:val="hybridMultilevel"/>
    <w:tmpl w:val="29805964"/>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15:restartNumberingAfterBreak="0">
    <w:nsid w:val="290F5B6E"/>
    <w:multiLevelType w:val="hybridMultilevel"/>
    <w:tmpl w:val="FFD40DA4"/>
    <w:lvl w:ilvl="0" w:tplc="FBD8135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E805FD"/>
    <w:multiLevelType w:val="hybridMultilevel"/>
    <w:tmpl w:val="F11A3064"/>
    <w:lvl w:ilvl="0" w:tplc="2082750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44C3A"/>
    <w:multiLevelType w:val="hybridMultilevel"/>
    <w:tmpl w:val="36F6CA46"/>
    <w:lvl w:ilvl="0" w:tplc="515EE6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8B1480"/>
    <w:multiLevelType w:val="hybridMultilevel"/>
    <w:tmpl w:val="1550262E"/>
    <w:lvl w:ilvl="0" w:tplc="BA0E281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7E973ED"/>
    <w:multiLevelType w:val="hybridMultilevel"/>
    <w:tmpl w:val="104A522C"/>
    <w:lvl w:ilvl="0" w:tplc="E834BD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B3"/>
    <w:rsid w:val="0002644C"/>
    <w:rsid w:val="000278AF"/>
    <w:rsid w:val="00032C2E"/>
    <w:rsid w:val="00060144"/>
    <w:rsid w:val="000D06EE"/>
    <w:rsid w:val="000D7A2B"/>
    <w:rsid w:val="000E71A3"/>
    <w:rsid w:val="00121AEF"/>
    <w:rsid w:val="001703F4"/>
    <w:rsid w:val="001840EA"/>
    <w:rsid w:val="001C19BA"/>
    <w:rsid w:val="002311AB"/>
    <w:rsid w:val="002663D0"/>
    <w:rsid w:val="00285697"/>
    <w:rsid w:val="002970AD"/>
    <w:rsid w:val="002F041E"/>
    <w:rsid w:val="00326982"/>
    <w:rsid w:val="00346CEF"/>
    <w:rsid w:val="00366BBD"/>
    <w:rsid w:val="003B7AB3"/>
    <w:rsid w:val="003D4B98"/>
    <w:rsid w:val="00431BF2"/>
    <w:rsid w:val="00452201"/>
    <w:rsid w:val="004A71DA"/>
    <w:rsid w:val="0053483D"/>
    <w:rsid w:val="00546F87"/>
    <w:rsid w:val="00555C3E"/>
    <w:rsid w:val="00585BC4"/>
    <w:rsid w:val="005A71BD"/>
    <w:rsid w:val="005B4122"/>
    <w:rsid w:val="005F033E"/>
    <w:rsid w:val="005F4166"/>
    <w:rsid w:val="00604BEA"/>
    <w:rsid w:val="006D7BF1"/>
    <w:rsid w:val="006F7925"/>
    <w:rsid w:val="00721B99"/>
    <w:rsid w:val="00743ECE"/>
    <w:rsid w:val="00744750"/>
    <w:rsid w:val="0074526B"/>
    <w:rsid w:val="00761145"/>
    <w:rsid w:val="007C075D"/>
    <w:rsid w:val="007C4060"/>
    <w:rsid w:val="00801482"/>
    <w:rsid w:val="0081093A"/>
    <w:rsid w:val="00854225"/>
    <w:rsid w:val="00854E40"/>
    <w:rsid w:val="00860305"/>
    <w:rsid w:val="008624A8"/>
    <w:rsid w:val="008B25EB"/>
    <w:rsid w:val="008B5623"/>
    <w:rsid w:val="008F0949"/>
    <w:rsid w:val="00903A6F"/>
    <w:rsid w:val="00906094"/>
    <w:rsid w:val="00922313"/>
    <w:rsid w:val="00955273"/>
    <w:rsid w:val="00993ADD"/>
    <w:rsid w:val="00997D7C"/>
    <w:rsid w:val="009D37B4"/>
    <w:rsid w:val="009E5F49"/>
    <w:rsid w:val="00A07C38"/>
    <w:rsid w:val="00A20477"/>
    <w:rsid w:val="00A57CE6"/>
    <w:rsid w:val="00AA420C"/>
    <w:rsid w:val="00AB24A2"/>
    <w:rsid w:val="00AC3C4C"/>
    <w:rsid w:val="00AC52C9"/>
    <w:rsid w:val="00AD62D6"/>
    <w:rsid w:val="00B62D43"/>
    <w:rsid w:val="00B63DD6"/>
    <w:rsid w:val="00BC3312"/>
    <w:rsid w:val="00BD5CDA"/>
    <w:rsid w:val="00C26D7A"/>
    <w:rsid w:val="00C74A7D"/>
    <w:rsid w:val="00C9012D"/>
    <w:rsid w:val="00C9685A"/>
    <w:rsid w:val="00C96FB4"/>
    <w:rsid w:val="00CA7E23"/>
    <w:rsid w:val="00CC44DD"/>
    <w:rsid w:val="00CE351B"/>
    <w:rsid w:val="00D61DE5"/>
    <w:rsid w:val="00D70B2F"/>
    <w:rsid w:val="00D7473B"/>
    <w:rsid w:val="00E7599F"/>
    <w:rsid w:val="00E87A68"/>
    <w:rsid w:val="00E9510B"/>
    <w:rsid w:val="00E95B4D"/>
    <w:rsid w:val="00EB4F81"/>
    <w:rsid w:val="00EC0952"/>
    <w:rsid w:val="00EE3C76"/>
    <w:rsid w:val="00EE741E"/>
    <w:rsid w:val="00F05ABC"/>
    <w:rsid w:val="00F222D7"/>
    <w:rsid w:val="00F46D47"/>
    <w:rsid w:val="00F73E07"/>
    <w:rsid w:val="00F91D5F"/>
    <w:rsid w:val="00FA5F32"/>
    <w:rsid w:val="00FC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4449D"/>
  <w15:chartTrackingRefBased/>
  <w15:docId w15:val="{39D889B0-D18B-40FE-8164-4D65BDFD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AB3"/>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1C19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278AF"/>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7AB3"/>
    <w:pPr>
      <w:tabs>
        <w:tab w:val="center" w:pos="4153"/>
        <w:tab w:val="right" w:pos="8306"/>
      </w:tabs>
    </w:pPr>
  </w:style>
  <w:style w:type="character" w:customStyle="1" w:styleId="a4">
    <w:name w:val="כותרת עליונה תו"/>
    <w:basedOn w:val="a0"/>
    <w:link w:val="a3"/>
    <w:rsid w:val="003B7AB3"/>
    <w:rPr>
      <w:rFonts w:ascii="Times New Roman" w:eastAsia="Times New Roman" w:hAnsi="Times New Roman" w:cs="Times New Roman"/>
      <w:sz w:val="24"/>
      <w:szCs w:val="24"/>
    </w:rPr>
  </w:style>
  <w:style w:type="paragraph" w:styleId="a5">
    <w:name w:val="footer"/>
    <w:basedOn w:val="a"/>
    <w:link w:val="a6"/>
    <w:uiPriority w:val="99"/>
    <w:rsid w:val="003B7AB3"/>
    <w:pPr>
      <w:tabs>
        <w:tab w:val="center" w:pos="4153"/>
        <w:tab w:val="right" w:pos="8306"/>
      </w:tabs>
    </w:pPr>
  </w:style>
  <w:style w:type="character" w:customStyle="1" w:styleId="a6">
    <w:name w:val="כותרת תחתונה תו"/>
    <w:basedOn w:val="a0"/>
    <w:link w:val="a5"/>
    <w:uiPriority w:val="99"/>
    <w:rsid w:val="003B7AB3"/>
    <w:rPr>
      <w:rFonts w:ascii="Times New Roman" w:eastAsia="Times New Roman" w:hAnsi="Times New Roman" w:cs="Times New Roman"/>
      <w:sz w:val="24"/>
      <w:szCs w:val="24"/>
    </w:rPr>
  </w:style>
  <w:style w:type="table" w:styleId="a7">
    <w:name w:val="Table Grid"/>
    <w:basedOn w:val="a1"/>
    <w:rsid w:val="003B7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0278AF"/>
    <w:rPr>
      <w:rFonts w:ascii="Times New Roman" w:eastAsia="Times New Roman" w:hAnsi="Times New Roman" w:cs="Times New Roman"/>
      <w:b/>
      <w:bCs/>
      <w:sz w:val="36"/>
      <w:szCs w:val="36"/>
    </w:rPr>
  </w:style>
  <w:style w:type="character" w:styleId="a8">
    <w:name w:val="Emphasis"/>
    <w:basedOn w:val="a0"/>
    <w:uiPriority w:val="20"/>
    <w:qFormat/>
    <w:rsid w:val="000278AF"/>
    <w:rPr>
      <w:i/>
      <w:iCs/>
    </w:rPr>
  </w:style>
  <w:style w:type="paragraph" w:customStyle="1" w:styleId="qo">
    <w:name w:val="qo"/>
    <w:basedOn w:val="a"/>
    <w:rsid w:val="00EE3C76"/>
    <w:pPr>
      <w:bidi w:val="0"/>
      <w:spacing w:before="100" w:beforeAutospacing="1" w:after="100" w:afterAutospacing="1"/>
    </w:pPr>
  </w:style>
  <w:style w:type="character" w:styleId="Hyperlink">
    <w:name w:val="Hyperlink"/>
    <w:basedOn w:val="a0"/>
    <w:uiPriority w:val="99"/>
    <w:semiHidden/>
    <w:unhideWhenUsed/>
    <w:rsid w:val="00EE3C76"/>
    <w:rPr>
      <w:color w:val="0000FF"/>
      <w:u w:val="single"/>
    </w:rPr>
  </w:style>
  <w:style w:type="paragraph" w:customStyle="1" w:styleId="lg">
    <w:name w:val="lg"/>
    <w:basedOn w:val="a"/>
    <w:rsid w:val="00F222D7"/>
    <w:pPr>
      <w:bidi w:val="0"/>
      <w:spacing w:before="100" w:beforeAutospacing="1" w:after="100" w:afterAutospacing="1"/>
    </w:pPr>
  </w:style>
  <w:style w:type="character" w:customStyle="1" w:styleId="m">
    <w:name w:val="m"/>
    <w:basedOn w:val="a0"/>
    <w:rsid w:val="00F222D7"/>
  </w:style>
  <w:style w:type="character" w:styleId="a9">
    <w:name w:val="Strong"/>
    <w:basedOn w:val="a0"/>
    <w:uiPriority w:val="22"/>
    <w:qFormat/>
    <w:rsid w:val="006D7BF1"/>
    <w:rPr>
      <w:b/>
      <w:bCs/>
    </w:rPr>
  </w:style>
  <w:style w:type="paragraph" w:styleId="aa">
    <w:name w:val="List Paragraph"/>
    <w:basedOn w:val="a"/>
    <w:uiPriority w:val="34"/>
    <w:qFormat/>
    <w:rsid w:val="00744750"/>
    <w:pPr>
      <w:ind w:left="720"/>
      <w:contextualSpacing/>
    </w:pPr>
  </w:style>
  <w:style w:type="character" w:styleId="ab">
    <w:name w:val="annotation reference"/>
    <w:basedOn w:val="a0"/>
    <w:uiPriority w:val="99"/>
    <w:semiHidden/>
    <w:unhideWhenUsed/>
    <w:rsid w:val="00AA420C"/>
    <w:rPr>
      <w:sz w:val="16"/>
      <w:szCs w:val="16"/>
    </w:rPr>
  </w:style>
  <w:style w:type="paragraph" w:styleId="ac">
    <w:name w:val="annotation text"/>
    <w:basedOn w:val="a"/>
    <w:link w:val="ad"/>
    <w:uiPriority w:val="99"/>
    <w:semiHidden/>
    <w:unhideWhenUsed/>
    <w:rsid w:val="00AA420C"/>
    <w:rPr>
      <w:sz w:val="20"/>
      <w:szCs w:val="20"/>
    </w:rPr>
  </w:style>
  <w:style w:type="character" w:customStyle="1" w:styleId="ad">
    <w:name w:val="טקסט הערה תו"/>
    <w:basedOn w:val="a0"/>
    <w:link w:val="ac"/>
    <w:uiPriority w:val="99"/>
    <w:semiHidden/>
    <w:rsid w:val="00AA420C"/>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AA420C"/>
    <w:rPr>
      <w:b/>
      <w:bCs/>
    </w:rPr>
  </w:style>
  <w:style w:type="character" w:customStyle="1" w:styleId="af">
    <w:name w:val="נושא הערה תו"/>
    <w:basedOn w:val="ad"/>
    <w:link w:val="ae"/>
    <w:uiPriority w:val="99"/>
    <w:semiHidden/>
    <w:rsid w:val="00AA420C"/>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2F041E"/>
    <w:rPr>
      <w:rFonts w:ascii="Tahoma" w:hAnsi="Tahoma" w:cs="Tahoma"/>
      <w:sz w:val="18"/>
      <w:szCs w:val="18"/>
    </w:rPr>
  </w:style>
  <w:style w:type="character" w:customStyle="1" w:styleId="af1">
    <w:name w:val="טקסט בלונים תו"/>
    <w:basedOn w:val="a0"/>
    <w:link w:val="af0"/>
    <w:uiPriority w:val="99"/>
    <w:semiHidden/>
    <w:rsid w:val="002F041E"/>
    <w:rPr>
      <w:rFonts w:ascii="Tahoma" w:eastAsia="Times New Roman" w:hAnsi="Tahoma" w:cs="Tahoma"/>
      <w:sz w:val="18"/>
      <w:szCs w:val="18"/>
    </w:rPr>
  </w:style>
  <w:style w:type="paragraph" w:customStyle="1" w:styleId="m-6345399015549926110msolistparagraph">
    <w:name w:val="m_-6345399015549926110msolistparagraph"/>
    <w:basedOn w:val="a"/>
    <w:rsid w:val="00431BF2"/>
    <w:pPr>
      <w:bidi w:val="0"/>
      <w:spacing w:before="100" w:beforeAutospacing="1" w:after="100" w:afterAutospacing="1"/>
    </w:pPr>
  </w:style>
  <w:style w:type="character" w:customStyle="1" w:styleId="10">
    <w:name w:val="כותרת 1 תו"/>
    <w:basedOn w:val="a0"/>
    <w:link w:val="1"/>
    <w:uiPriority w:val="9"/>
    <w:rsid w:val="001C19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92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057">
          <w:marLeft w:val="0"/>
          <w:marRight w:val="0"/>
          <w:marTop w:val="0"/>
          <w:marBottom w:val="0"/>
          <w:divBdr>
            <w:top w:val="none" w:sz="0" w:space="0" w:color="auto"/>
            <w:left w:val="none" w:sz="0" w:space="0" w:color="auto"/>
            <w:bottom w:val="none" w:sz="0" w:space="0" w:color="auto"/>
            <w:right w:val="none" w:sz="0" w:space="0" w:color="auto"/>
          </w:divBdr>
        </w:div>
      </w:divsChild>
    </w:div>
    <w:div w:id="266356230">
      <w:bodyDiv w:val="1"/>
      <w:marLeft w:val="0"/>
      <w:marRight w:val="0"/>
      <w:marTop w:val="0"/>
      <w:marBottom w:val="0"/>
      <w:divBdr>
        <w:top w:val="none" w:sz="0" w:space="0" w:color="auto"/>
        <w:left w:val="none" w:sz="0" w:space="0" w:color="auto"/>
        <w:bottom w:val="none" w:sz="0" w:space="0" w:color="auto"/>
        <w:right w:val="none" w:sz="0" w:space="0" w:color="auto"/>
      </w:divBdr>
      <w:divsChild>
        <w:div w:id="278218037">
          <w:marLeft w:val="0"/>
          <w:marRight w:val="0"/>
          <w:marTop w:val="0"/>
          <w:marBottom w:val="0"/>
          <w:divBdr>
            <w:top w:val="none" w:sz="0" w:space="0" w:color="auto"/>
            <w:left w:val="none" w:sz="0" w:space="0" w:color="auto"/>
            <w:bottom w:val="none" w:sz="0" w:space="0" w:color="auto"/>
            <w:right w:val="none" w:sz="0" w:space="0" w:color="auto"/>
          </w:divBdr>
        </w:div>
      </w:divsChild>
    </w:div>
    <w:div w:id="720136366">
      <w:bodyDiv w:val="1"/>
      <w:marLeft w:val="0"/>
      <w:marRight w:val="0"/>
      <w:marTop w:val="0"/>
      <w:marBottom w:val="0"/>
      <w:divBdr>
        <w:top w:val="none" w:sz="0" w:space="0" w:color="auto"/>
        <w:left w:val="none" w:sz="0" w:space="0" w:color="auto"/>
        <w:bottom w:val="none" w:sz="0" w:space="0" w:color="auto"/>
        <w:right w:val="none" w:sz="0" w:space="0" w:color="auto"/>
      </w:divBdr>
    </w:div>
    <w:div w:id="1066338381">
      <w:bodyDiv w:val="1"/>
      <w:marLeft w:val="0"/>
      <w:marRight w:val="0"/>
      <w:marTop w:val="0"/>
      <w:marBottom w:val="0"/>
      <w:divBdr>
        <w:top w:val="none" w:sz="0" w:space="0" w:color="auto"/>
        <w:left w:val="none" w:sz="0" w:space="0" w:color="auto"/>
        <w:bottom w:val="none" w:sz="0" w:space="0" w:color="auto"/>
        <w:right w:val="none" w:sz="0" w:space="0" w:color="auto"/>
      </w:divBdr>
    </w:div>
    <w:div w:id="1479229665">
      <w:bodyDiv w:val="1"/>
      <w:marLeft w:val="0"/>
      <w:marRight w:val="0"/>
      <w:marTop w:val="0"/>
      <w:marBottom w:val="0"/>
      <w:divBdr>
        <w:top w:val="none" w:sz="0" w:space="0" w:color="auto"/>
        <w:left w:val="none" w:sz="0" w:space="0" w:color="auto"/>
        <w:bottom w:val="none" w:sz="0" w:space="0" w:color="auto"/>
        <w:right w:val="none" w:sz="0" w:space="0" w:color="auto"/>
      </w:divBdr>
      <w:divsChild>
        <w:div w:id="1076322281">
          <w:marLeft w:val="0"/>
          <w:marRight w:val="0"/>
          <w:marTop w:val="0"/>
          <w:marBottom w:val="0"/>
          <w:divBdr>
            <w:top w:val="none" w:sz="0" w:space="0" w:color="auto"/>
            <w:left w:val="none" w:sz="0" w:space="0" w:color="auto"/>
            <w:bottom w:val="none" w:sz="0" w:space="0" w:color="auto"/>
            <w:right w:val="none" w:sz="0" w:space="0" w:color="auto"/>
          </w:divBdr>
          <w:divsChild>
            <w:div w:id="1828087523">
              <w:marLeft w:val="0"/>
              <w:marRight w:val="0"/>
              <w:marTop w:val="0"/>
              <w:marBottom w:val="0"/>
              <w:divBdr>
                <w:top w:val="none" w:sz="0" w:space="0" w:color="auto"/>
                <w:left w:val="none" w:sz="0" w:space="0" w:color="auto"/>
                <w:bottom w:val="none" w:sz="0" w:space="0" w:color="auto"/>
                <w:right w:val="none" w:sz="0" w:space="0" w:color="auto"/>
              </w:divBdr>
              <w:divsChild>
                <w:div w:id="339505943">
                  <w:marLeft w:val="0"/>
                  <w:marRight w:val="0"/>
                  <w:marTop w:val="0"/>
                  <w:marBottom w:val="0"/>
                  <w:divBdr>
                    <w:top w:val="single" w:sz="6" w:space="9" w:color="00C800"/>
                    <w:left w:val="none" w:sz="0" w:space="0" w:color="auto"/>
                    <w:bottom w:val="none" w:sz="0" w:space="0" w:color="auto"/>
                    <w:right w:val="none" w:sz="0" w:space="0" w:color="auto"/>
                  </w:divBdr>
                  <w:divsChild>
                    <w:div w:id="1910843044">
                      <w:marLeft w:val="0"/>
                      <w:marRight w:val="0"/>
                      <w:marTop w:val="0"/>
                      <w:marBottom w:val="225"/>
                      <w:divBdr>
                        <w:top w:val="none" w:sz="0" w:space="0" w:color="auto"/>
                        <w:left w:val="none" w:sz="0" w:space="0" w:color="auto"/>
                        <w:bottom w:val="none" w:sz="0" w:space="0" w:color="auto"/>
                        <w:right w:val="none" w:sz="0" w:space="0" w:color="auto"/>
                      </w:divBdr>
                    </w:div>
                    <w:div w:id="17033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toNumber xmlns="5857fa14-329b-4c37-a1fe-c443ee7409da">00738821</AutoNumber>
    <SDOfflineTo xmlns="5857fa14-329b-4c37-a1fe-c443ee7409da" xsi:nil="true"/>
    <SDDocDate xmlns="5857fa14-329b-4c37-a1fe-c443ee7409da">2021-05-19T08:29:33+00:00</SDDocDate>
    <SDAuthor xmlns="5857fa14-329b-4c37-a1fe-c443ee7409da">לאה חסיד Leah Hasid</SDAuthor>
    <SDCategories xmlns="5857fa14-329b-4c37-a1fe-c443ee7409da">:ועד מרכזי:ועדות:פ קניין ומקרקעין;#</SDCategories>
    <SDHebDate xmlns="5857fa14-329b-4c37-a1fe-c443ee7409da">ח' בסיון, התשפ"א</SDHebDate>
    <SDSenderName xmlns="5857fa14-329b-4c37-a1fe-c443ee7409da">אבי חימי יו"ר פורום קנין ומקרקעין</SDSenderName>
    <note xmlns="5857fa14-329b-4c37-a1fe-c443ee7409da" xsi:nil="true"/>
    <SDCategoryID xmlns="5857fa14-329b-4c37-a1fe-c443ee7409da">969b1a9efba3;#</SDCategoryID>
    <SDToList xmlns="5857fa14-329b-4c37-a1fe-c443ee7409da">בנימין נתניהו, אריה דרעי, יעקב ליצמן</SDToList>
    <SDOriginalID xmlns="5857fa14-329b-4c37-a1fe-c443ee7409da" xsi:nil="true"/>
    <SDAsmachta xmlns="5857fa14-329b-4c37-a1fe-c443ee7409da">וע-000278-2021</SDAsmach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שמירת דואר או מסמך" ma:contentTypeID="0x010100F4A8D0D226729844A9E3519023DE66A80011469C01A5BCD04ABE5AE0517DBDE53F" ma:contentTypeVersion="19" ma:contentTypeDescription="Create a new document." ma:contentTypeScope="" ma:versionID="2614ac8fc3e1be0d8e425ccd95a02757">
  <xsd:schema xmlns:xsd="http://www.w3.org/2001/XMLSchema" xmlns:xs="http://www.w3.org/2001/XMLSchema" xmlns:p="http://schemas.microsoft.com/office/2006/metadata/properties" xmlns:ns1="5857fa14-329b-4c37-a1fe-c443ee7409da" targetNamespace="http://schemas.microsoft.com/office/2006/metadata/properties" ma:root="true" ma:fieldsID="db2436ba1f0c98f9da164de3a342d12d" ns1:_="">
    <xsd:import namespace="5857fa14-329b-4c37-a1fe-c443ee7409da"/>
    <xsd:element name="properties">
      <xsd:complexType>
        <xsd:sequence>
          <xsd:element name="documentManagement">
            <xsd:complexType>
              <xsd:all>
                <xsd:element ref="ns1:SDToList" minOccurs="0"/>
                <xsd:element ref="ns1:SDSenderName" minOccurs="0"/>
                <xsd:element ref="ns1:note" minOccurs="0"/>
                <xsd:element ref="ns1:SDAuthor" minOccurs="0"/>
                <xsd:element ref="ns1:SDDocDate" minOccurs="0"/>
                <xsd:element ref="ns1:SDHebDate" minOccurs="0"/>
                <xsd:element ref="ns1:SDOriginalID" minOccurs="0"/>
                <xsd:element ref="ns1:SDOfflineTo" minOccurs="0"/>
                <xsd:element ref="ns1:SDAsmachta" minOccurs="0"/>
                <xsd:element ref="ns1:SDCategories" minOccurs="0"/>
                <xsd:element ref="ns1:SDCategoryID" minOccurs="0"/>
                <xsd:element ref="ns1:Auto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7fa14-329b-4c37-a1fe-c443ee7409da" elementFormDefault="qualified">
    <xsd:import namespace="http://schemas.microsoft.com/office/2006/documentManagement/types"/>
    <xsd:import namespace="http://schemas.microsoft.com/office/infopath/2007/PartnerControls"/>
    <xsd:element name="SDToList" ma:index="0" nillable="true" ma:displayName="אל" ma:internalName="SDToList">
      <xsd:simpleType>
        <xsd:restriction base="dms:Text"/>
      </xsd:simpleType>
    </xsd:element>
    <xsd:element name="SDSenderName" ma:index="1" nillable="true" ma:displayName="מאת" ma:default="" ma:internalName="SDSenderName">
      <xsd:simpleType>
        <xsd:restriction base="dms:Text">
          <xsd:maxLength value="255"/>
        </xsd:restriction>
      </xsd:simpleType>
    </xsd:element>
    <xsd:element name="note" ma:index="2" nillable="true" ma:displayName="הערות" ma:default="" ma:internalName="note">
      <xsd:simpleType>
        <xsd:restriction base="dms:Note">
          <xsd:maxLength value="255"/>
        </xsd:restriction>
      </xsd:simpleType>
    </xsd:element>
    <xsd:element name="SDAuthor" ma:index="3" nillable="true" ma:displayName="מחבר" ma:indexed="true" ma:internalName="SDAuthor">
      <xsd:simpleType>
        <xsd:restriction base="dms:Text"/>
      </xsd:simpleType>
    </xsd:element>
    <xsd:element name="SDDocDate" ma:index="4" nillable="true" ma:displayName="תאריך המסמך" ma:indexed="true" ma:internalName="SDDocDate">
      <xsd:simpleType>
        <xsd:restriction base="dms:DateTime"/>
      </xsd:simpleType>
    </xsd:element>
    <xsd:element name="SDHebDate" ma:index="5" nillable="true" ma:displayName="תאריך עברי" ma:internalName="SDHebDate">
      <xsd:simpleType>
        <xsd:restriction base="dms:Text"/>
      </xsd:simpleType>
    </xsd:element>
    <xsd:element name="SDOriginalID" ma:index="6" nillable="true" ma:displayName="סימוכין מקורי" ma:internalName="SDOriginalID">
      <xsd:simpleType>
        <xsd:restriction base="dms:Text"/>
      </xsd:simpleType>
    </xsd:element>
    <xsd:element name="SDOfflineTo" ma:index="7" nillable="true" ma:displayName="הוצא אל" ma:internalName="SDOfflineTo">
      <xsd:simpleType>
        <xsd:restriction base="dms:Text"/>
      </xsd:simpleType>
    </xsd:element>
    <xsd:element name="SDAsmachta" ma:index="8" nillable="true" ma:displayName="אסמכתא" ma:internalName="SDAsmachta">
      <xsd:simpleType>
        <xsd:restriction base="dms:Text"/>
      </xsd:simpleType>
    </xsd:element>
    <xsd:element name="SDCategories" ma:index="9" nillable="true" ma:displayName="נושאים" ma:internalName="SDCategories">
      <xsd:simpleType>
        <xsd:restriction base="dms:Note">
          <xsd:maxLength value="255"/>
        </xsd:restriction>
      </xsd:simpleType>
    </xsd:element>
    <xsd:element name="SDCategoryID" ma:index="10" nillable="true" ma:displayName="SDCategoryID" ma:indexed="true" ma:internalName="SDCategoryID">
      <xsd:simpleType>
        <xsd:restriction base="dms:Text"/>
      </xsd:simpleType>
    </xsd:element>
    <xsd:element name="AutoNumber" ma:index="11" nillable="true" ma:displayName="סימוכין" ma:indexed="true" ma:internalName="Auto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4EA90-7FFE-404A-92C2-09E4F8F9DEBA}">
  <ds:schemaRefs>
    <ds:schemaRef ds:uri="http://schemas.microsoft.com/office/2006/metadata/properties"/>
    <ds:schemaRef ds:uri="http://schemas.microsoft.com/office/infopath/2007/PartnerControls"/>
    <ds:schemaRef ds:uri="5857fa14-329b-4c37-a1fe-c443ee7409da"/>
  </ds:schemaRefs>
</ds:datastoreItem>
</file>

<file path=customXml/itemProps2.xml><?xml version="1.0" encoding="utf-8"?>
<ds:datastoreItem xmlns:ds="http://schemas.openxmlformats.org/officeDocument/2006/customXml" ds:itemID="{644D9DB9-BD8C-414F-9FEB-0294503D2E99}">
  <ds:schemaRefs>
    <ds:schemaRef ds:uri="http://schemas.microsoft.com/sharepoint/v3/contenttype/forms"/>
  </ds:schemaRefs>
</ds:datastoreItem>
</file>

<file path=customXml/itemProps3.xml><?xml version="1.0" encoding="utf-8"?>
<ds:datastoreItem xmlns:ds="http://schemas.openxmlformats.org/officeDocument/2006/customXml" ds:itemID="{3BC73D9F-0034-467A-966D-0FF4B30B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7fa14-329b-4c37-a1fe-c443ee740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1587</Words>
  <Characters>7940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הארכת תוקפה של תמ"א 38 –  חיזוק מבנים ובניית ממד"ים</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הארכת תוקפה של תמ"א 38 –  חיזוק מבנים ובניית ממד"ים</dc:title>
  <dc:subject/>
  <dc:creator>Admin</dc:creator>
  <cp:keywords/>
  <dc:description/>
  <cp:lastModifiedBy>פנחס</cp:lastModifiedBy>
  <cp:revision>4</cp:revision>
  <dcterms:created xsi:type="dcterms:W3CDTF">2021-07-19T18:22:00Z</dcterms:created>
  <dcterms:modified xsi:type="dcterms:W3CDTF">2021-07-20T06:20:00Z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0x010100F4A8D0D226729844A9E3519023DE66A80011469C01A5BCD04ABE5AE0517DBDE53F</vt:lpwstr>
  </property>
  <property fmtid="{D5CDD505-2E9C-101B-9397-08002B2CF9AE}" pid="3" name="SDDocumentSource">
    <vt:lpwstr>OfficeAddIn</vt:lpwstr>
  </property>
  <property fmtid="{D5CDD505-2E9C-101B-9397-08002B2CF9AE}" pid="4" name="xmlns:z">
    <vt:lpwstr>#RowsetSchema</vt:lpwstr>
  </property>
  <property fmtid="{D5CDD505-2E9C-101B-9397-08002B2CF9AE}" pid="5" name="FileLeafRef">
    <vt:lpwstr>19238;#00738821.docx</vt:lpwstr>
  </property>
  <property fmtid="{D5CDD505-2E9C-101B-9397-08002B2CF9AE}" pid="6" name="Modified_x0020_By">
    <vt:lpwstr>i:0#.w|israelbar\leahh</vt:lpwstr>
  </property>
  <property fmtid="{D5CDD505-2E9C-101B-9397-08002B2CF9AE}" pid="7" name="Created_x0020_By">
    <vt:lpwstr>i:0#.w|israelbar\leahh</vt:lpwstr>
  </property>
  <property fmtid="{D5CDD505-2E9C-101B-9397-08002B2CF9AE}" pid="8" name="File_x0020_Type">
    <vt:lpwstr>docx</vt:lpwstr>
  </property>
  <property fmtid="{D5CDD505-2E9C-101B-9397-08002B2CF9AE}" pid="9" name="AutoNumber">
    <vt:lpwstr>00738821</vt:lpwstr>
  </property>
  <property fmtid="{D5CDD505-2E9C-101B-9397-08002B2CF9AE}" pid="10" name="SDCategories">
    <vt:lpwstr>:ועד מרכזי:ועדות:פ קניין ומקרקעין;#</vt:lpwstr>
  </property>
  <property fmtid="{D5CDD505-2E9C-101B-9397-08002B2CF9AE}" pid="11" name="SDCategoryID">
    <vt:lpwstr>969b1a9efba3;#</vt:lpwstr>
  </property>
  <property fmtid="{D5CDD505-2E9C-101B-9397-08002B2CF9AE}" pid="12" name="SDAuthor">
    <vt:lpwstr>לאה חסיד Leah Hasid</vt:lpwstr>
  </property>
  <property fmtid="{D5CDD505-2E9C-101B-9397-08002B2CF9AE}" pid="13" name="SDDocDate">
    <vt:lpwstr>19/05/2021</vt:lpwstr>
  </property>
  <property fmtid="{D5CDD505-2E9C-101B-9397-08002B2CF9AE}" pid="14" name="SDHebDate">
    <vt:lpwstr>ח' בסיון, התשפ"א</vt:lpwstr>
  </property>
  <property fmtid="{D5CDD505-2E9C-101B-9397-08002B2CF9AE}" pid="15" name="SDAsmachta">
    <vt:lpwstr>וע-000278-2021</vt:lpwstr>
  </property>
  <property fmtid="{D5CDD505-2E9C-101B-9397-08002B2CF9AE}" pid="16" name="SDToList">
    <vt:lpwstr>בנימין נתניהו, אריה דרעי, יעקב ליצמן</vt:lpwstr>
  </property>
  <property fmtid="{D5CDD505-2E9C-101B-9397-08002B2CF9AE}" pid="17" name="SDSenderName">
    <vt:lpwstr>אבי חימי יו"ר פורום קנין ומקרקעין</vt:lpwstr>
  </property>
  <property fmtid="{D5CDD505-2E9C-101B-9397-08002B2CF9AE}" pid="18" name="ID">
    <vt:lpwstr>19238</vt:lpwstr>
  </property>
  <property fmtid="{D5CDD505-2E9C-101B-9397-08002B2CF9AE}" pid="19" name="ContentType">
    <vt:lpwstr>שמירת דואר או מסמך</vt:lpwstr>
  </property>
  <property fmtid="{D5CDD505-2E9C-101B-9397-08002B2CF9AE}" pid="20" name="Created">
    <vt:lpwstr>19/05/2021</vt:lpwstr>
  </property>
  <property fmtid="{D5CDD505-2E9C-101B-9397-08002B2CF9AE}" pid="21" name="Author">
    <vt:lpwstr>33;#לאה חסיד Leah Hasid</vt:lpwstr>
  </property>
  <property fmtid="{D5CDD505-2E9C-101B-9397-08002B2CF9AE}" pid="22" name="Modified">
    <vt:lpwstr>19/05/2021</vt:lpwstr>
  </property>
  <property fmtid="{D5CDD505-2E9C-101B-9397-08002B2CF9AE}" pid="23" name="Editor">
    <vt:lpwstr>33;#לאה חסיד Leah Hasid</vt:lpwstr>
  </property>
  <property fmtid="{D5CDD505-2E9C-101B-9397-08002B2CF9AE}" pid="24" name="_ModerationStatus">
    <vt:lpwstr>0</vt:lpwstr>
  </property>
  <property fmtid="{D5CDD505-2E9C-101B-9397-08002B2CF9AE}" pid="25" name="FileRef">
    <vt:lpwstr>19238;#sites/VaadMerkazi/vaadot/DocLib/DocLib automatically created by sharedocs 1/00738821.docx</vt:lpwstr>
  </property>
  <property fmtid="{D5CDD505-2E9C-101B-9397-08002B2CF9AE}" pid="26" name="FileDirRef">
    <vt:lpwstr>19238;#sites/VaadMerkazi/vaadot/DocLib/DocLib automatically created by sharedocs 1</vt:lpwstr>
  </property>
  <property fmtid="{D5CDD505-2E9C-101B-9397-08002B2CF9AE}" pid="27" name="Last_x0020_Modified">
    <vt:lpwstr>19238;#2021-05-19 11:33:07</vt:lpwstr>
  </property>
  <property fmtid="{D5CDD505-2E9C-101B-9397-08002B2CF9AE}" pid="28" name="Created_x0020_Date">
    <vt:lpwstr>19238;#2021-05-19 11:29:33</vt:lpwstr>
  </property>
  <property fmtid="{D5CDD505-2E9C-101B-9397-08002B2CF9AE}" pid="29" name="File_x0020_Size">
    <vt:lpwstr>19238;#265204</vt:lpwstr>
  </property>
  <property fmtid="{D5CDD505-2E9C-101B-9397-08002B2CF9AE}" pid="30" name="FSObjType">
    <vt:lpwstr>19238;#0</vt:lpwstr>
  </property>
  <property fmtid="{D5CDD505-2E9C-101B-9397-08002B2CF9AE}" pid="31" name="SortBehavior">
    <vt:lpwstr>19238;#0</vt:lpwstr>
  </property>
  <property fmtid="{D5CDD505-2E9C-101B-9397-08002B2CF9AE}" pid="32" name="PermMask">
    <vt:lpwstr>0x1b03c4312ef</vt:lpwstr>
  </property>
  <property fmtid="{D5CDD505-2E9C-101B-9397-08002B2CF9AE}" pid="33" name="CheckedOutUserId">
    <vt:lpwstr>19238;#</vt:lpwstr>
  </property>
  <property fmtid="{D5CDD505-2E9C-101B-9397-08002B2CF9AE}" pid="34" name="IsCheckedoutToLocal">
    <vt:lpwstr>19238;#0</vt:lpwstr>
  </property>
  <property fmtid="{D5CDD505-2E9C-101B-9397-08002B2CF9AE}" pid="35" name="UniqueId">
    <vt:lpwstr>19238;#{9AB575BB-4473-4743-8D37-D78AF35939C1}</vt:lpwstr>
  </property>
  <property fmtid="{D5CDD505-2E9C-101B-9397-08002B2CF9AE}" pid="36" name="ProgId">
    <vt:lpwstr>19238;#</vt:lpwstr>
  </property>
  <property fmtid="{D5CDD505-2E9C-101B-9397-08002B2CF9AE}" pid="37" name="ScopeId">
    <vt:lpwstr>19238;#{3BA7DD27-97CE-4251-A738-4E9D08E22ACF}</vt:lpwstr>
  </property>
  <property fmtid="{D5CDD505-2E9C-101B-9397-08002B2CF9AE}" pid="38" name="VirusStatus">
    <vt:lpwstr>19238;#265204</vt:lpwstr>
  </property>
  <property fmtid="{D5CDD505-2E9C-101B-9397-08002B2CF9AE}" pid="39" name="CheckedOutTitle">
    <vt:lpwstr>19238;#</vt:lpwstr>
  </property>
  <property fmtid="{D5CDD505-2E9C-101B-9397-08002B2CF9AE}" pid="40" name="_CheckinComment">
    <vt:lpwstr>19238;#</vt:lpwstr>
  </property>
  <property fmtid="{D5CDD505-2E9C-101B-9397-08002B2CF9AE}" pid="41" name="_EditMenuTableStart">
    <vt:lpwstr>00738821.docx</vt:lpwstr>
  </property>
  <property fmtid="{D5CDD505-2E9C-101B-9397-08002B2CF9AE}" pid="42" name="_EditMenuTableStart2">
    <vt:lpwstr>19238</vt:lpwstr>
  </property>
  <property fmtid="{D5CDD505-2E9C-101B-9397-08002B2CF9AE}" pid="43" name="_EditMenuTableEnd">
    <vt:lpwstr>19238</vt:lpwstr>
  </property>
  <property fmtid="{D5CDD505-2E9C-101B-9397-08002B2CF9AE}" pid="44" name="LinkFilenameNoMenu">
    <vt:lpwstr>00738821.docx</vt:lpwstr>
  </property>
  <property fmtid="{D5CDD505-2E9C-101B-9397-08002B2CF9AE}" pid="45" name="LinkFilename">
    <vt:lpwstr>00738821.docx</vt:lpwstr>
  </property>
  <property fmtid="{D5CDD505-2E9C-101B-9397-08002B2CF9AE}" pid="46" name="LinkFilename2">
    <vt:lpwstr>00738821.docx</vt:lpwstr>
  </property>
  <property fmtid="{D5CDD505-2E9C-101B-9397-08002B2CF9AE}" pid="47" name="DocIcon">
    <vt:lpwstr>docx</vt:lpwstr>
  </property>
  <property fmtid="{D5CDD505-2E9C-101B-9397-08002B2CF9AE}" pid="48" name="ServerUrl">
    <vt:lpwstr>/sites/VaadMerkazi/vaadot/DocLib/DocLib automatically created by sharedocs 1/00738821.docx</vt:lpwstr>
  </property>
  <property fmtid="{D5CDD505-2E9C-101B-9397-08002B2CF9AE}" pid="49" name="EncodedAbsUrl">
    <vt:lpwstr>http://barjer333/sites/VaadMerkazi/vaadot/DocLib/DocLib%20automatically%20created%20by%20sharedocs%201/00738821.docx</vt:lpwstr>
  </property>
  <property fmtid="{D5CDD505-2E9C-101B-9397-08002B2CF9AE}" pid="50" name="BaseName">
    <vt:lpwstr>00738821</vt:lpwstr>
  </property>
  <property fmtid="{D5CDD505-2E9C-101B-9397-08002B2CF9AE}" pid="51" name="FileSizeDisplay">
    <vt:lpwstr>265204</vt:lpwstr>
  </property>
  <property fmtid="{D5CDD505-2E9C-101B-9397-08002B2CF9AE}" pid="52" name="MetaInfo">
    <vt:lpwstr>19238;#Etag:SW|{9AB575BB-4473-4743-8D37-D78AF35939C1},5_x000d_
_Level:SW|1_x000d_
ItemChildCount:SW|19238;#0_x000d_
vti_thumbnailexists:BW|false_x000d_
Order:SW|1923800.00000000_x000d_
vti_pluggableparserversion:SR|15.0.0.5249_x000d_
Last Modified:SW|19238;#2021-05-19 11:29:58_x000d_
vti_stickyca</vt:lpwstr>
  </property>
  <property fmtid="{D5CDD505-2E9C-101B-9397-08002B2CF9AE}" pid="53" name="_Level">
    <vt:lpwstr>1</vt:lpwstr>
  </property>
  <property fmtid="{D5CDD505-2E9C-101B-9397-08002B2CF9AE}" pid="54" name="_IsCurrentVersion">
    <vt:lpwstr>1</vt:lpwstr>
  </property>
  <property fmtid="{D5CDD505-2E9C-101B-9397-08002B2CF9AE}" pid="55" name="ItemChildCount">
    <vt:lpwstr>19238;#0</vt:lpwstr>
  </property>
  <property fmtid="{D5CDD505-2E9C-101B-9397-08002B2CF9AE}" pid="56" name="FolderChildCount">
    <vt:lpwstr>19238;#0</vt:lpwstr>
  </property>
  <property fmtid="{D5CDD505-2E9C-101B-9397-08002B2CF9AE}" pid="57" name="SelectTitle">
    <vt:lpwstr>19238</vt:lpwstr>
  </property>
  <property fmtid="{D5CDD505-2E9C-101B-9397-08002B2CF9AE}" pid="58" name="SelectFilename">
    <vt:lpwstr>19238</vt:lpwstr>
  </property>
  <property fmtid="{D5CDD505-2E9C-101B-9397-08002B2CF9AE}" pid="59" name="Edit">
    <vt:lpwstr>0</vt:lpwstr>
  </property>
  <property fmtid="{D5CDD505-2E9C-101B-9397-08002B2CF9AE}" pid="60" name="owshiddenversion">
    <vt:lpwstr>7</vt:lpwstr>
  </property>
  <property fmtid="{D5CDD505-2E9C-101B-9397-08002B2CF9AE}" pid="61" name="_UIVersion">
    <vt:lpwstr>512</vt:lpwstr>
  </property>
  <property fmtid="{D5CDD505-2E9C-101B-9397-08002B2CF9AE}" pid="62" name="Order">
    <vt:lpwstr>1923800.00000000</vt:lpwstr>
  </property>
  <property fmtid="{D5CDD505-2E9C-101B-9397-08002B2CF9AE}" pid="63" name="GUID">
    <vt:lpwstr>{589E2601-F3FB-4F37-B5A1-F0DEFA5B9F27}</vt:lpwstr>
  </property>
  <property fmtid="{D5CDD505-2E9C-101B-9397-08002B2CF9AE}" pid="64" name="WorkflowVersion">
    <vt:lpwstr>1</vt:lpwstr>
  </property>
  <property fmtid="{D5CDD505-2E9C-101B-9397-08002B2CF9AE}" pid="65" name="ParentVersionString">
    <vt:lpwstr>19238;#</vt:lpwstr>
  </property>
  <property fmtid="{D5CDD505-2E9C-101B-9397-08002B2CF9AE}" pid="66" name="ParentLeafName">
    <vt:lpwstr>19238;#</vt:lpwstr>
  </property>
  <property fmtid="{D5CDD505-2E9C-101B-9397-08002B2CF9AE}" pid="67" name="Etag">
    <vt:lpwstr>{9AB575BB-4473-4743-8D37-D78AF35939C1},7</vt:lpwstr>
  </property>
  <property fmtid="{D5CDD505-2E9C-101B-9397-08002B2CF9AE}" pid="68" name="Combine">
    <vt:lpwstr>0</vt:lpwstr>
  </property>
  <property fmtid="{D5CDD505-2E9C-101B-9397-08002B2CF9AE}" pid="69" name="RepairDocument">
    <vt:lpwstr>0</vt:lpwstr>
  </property>
  <property fmtid="{D5CDD505-2E9C-101B-9397-08002B2CF9AE}" pid="70" name="ServerRedirected">
    <vt:lpwstr>0</vt:lpwstr>
  </property>
  <property fmtid="{D5CDD505-2E9C-101B-9397-08002B2CF9AE}" pid="71" name="_UIVersionString">
    <vt:lpwstr>1.0</vt:lpwstr>
  </property>
</Properties>
</file>